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DCC2E" w14:textId="6AF5FDEB" w:rsidR="005F3603" w:rsidRDefault="00FC41B5" w:rsidP="005F3603">
      <w:pPr>
        <w:jc w:val="center"/>
        <w:rPr>
          <w:rFonts w:asciiTheme="majorHAnsi" w:eastAsiaTheme="majorEastAsia" w:hAnsiTheme="majorHAnsi" w:cstheme="majorBidi"/>
          <w:caps/>
          <w:color w:val="005596"/>
          <w:spacing w:val="10"/>
          <w:sz w:val="52"/>
          <w:szCs w:val="52"/>
        </w:rPr>
      </w:pPr>
      <w:r>
        <w:rPr>
          <w:rFonts w:asciiTheme="majorHAnsi" w:eastAsiaTheme="majorEastAsia" w:hAnsiTheme="majorHAnsi" w:cstheme="majorBidi"/>
          <w:caps/>
          <w:color w:val="005596"/>
          <w:spacing w:val="10"/>
          <w:sz w:val="52"/>
          <w:szCs w:val="52"/>
        </w:rPr>
        <w:t>Improving CSP</w:t>
      </w:r>
    </w:p>
    <w:p w14:paraId="38FEDD66" w14:textId="3A4EC946" w:rsidR="005F3603" w:rsidRDefault="00095587" w:rsidP="005F3603">
      <w:pPr>
        <w:pStyle w:val="IntenseQuote"/>
        <w:rPr>
          <w:rFonts w:eastAsiaTheme="majorEastAsia"/>
        </w:rPr>
      </w:pPr>
      <w:r>
        <w:rPr>
          <w:rFonts w:eastAsiaTheme="majorEastAsia"/>
        </w:rPr>
        <w:t>Program</w:t>
      </w:r>
      <w:r w:rsidR="00DC18E7">
        <w:rPr>
          <w:rFonts w:eastAsiaTheme="majorEastAsia"/>
        </w:rPr>
        <w:t xml:space="preserve"> Terms and Conditions</w:t>
      </w:r>
      <w:r w:rsidR="003911C3">
        <w:rPr>
          <w:rFonts w:eastAsiaTheme="majorEastAsia"/>
        </w:rPr>
        <w:t xml:space="preserve"> </w:t>
      </w:r>
      <w:r w:rsidR="00C372BB">
        <w:rPr>
          <w:rFonts w:eastAsiaTheme="majorEastAsia"/>
        </w:rPr>
        <w:t>–</w:t>
      </w:r>
      <w:r w:rsidR="007B20FD">
        <w:rPr>
          <w:rFonts w:eastAsiaTheme="majorEastAsia"/>
        </w:rPr>
        <w:t xml:space="preserve"> </w:t>
      </w:r>
      <w:r w:rsidR="000D2CA9">
        <w:rPr>
          <w:rFonts w:eastAsiaTheme="majorEastAsia"/>
        </w:rPr>
        <w:t>0</w:t>
      </w:r>
      <w:r w:rsidR="00EB16C9">
        <w:rPr>
          <w:rFonts w:eastAsiaTheme="majorEastAsia"/>
        </w:rPr>
        <w:t>1.2020</w:t>
      </w:r>
    </w:p>
    <w:p w14:paraId="2D5E9223" w14:textId="23FBABC4" w:rsidR="00DE06EF" w:rsidRDefault="00F84BCB" w:rsidP="00DE06EF">
      <w:r>
        <w:t xml:space="preserve">The Improving CSP Terms and Conditions (“Agreement”) </w:t>
      </w:r>
      <w:r w:rsidR="009E0C12">
        <w:t xml:space="preserve">governs </w:t>
      </w:r>
      <w:r w:rsidR="009B2C40">
        <w:t xml:space="preserve">the </w:t>
      </w:r>
      <w:r w:rsidR="00D37134">
        <w:t>S</w:t>
      </w:r>
      <w:r w:rsidR="009B2C40">
        <w:t xml:space="preserve">ervices provided </w:t>
      </w:r>
      <w:r w:rsidR="00E43E5A">
        <w:t xml:space="preserve">to its Customers </w:t>
      </w:r>
      <w:r w:rsidR="008319A9">
        <w:t>under the Improving CSP Program</w:t>
      </w:r>
      <w:r w:rsidR="00DE217C">
        <w:t xml:space="preserve">.  This Agreement is in addition to other terms you </w:t>
      </w:r>
      <w:r w:rsidR="00306F91">
        <w:t xml:space="preserve">may have </w:t>
      </w:r>
      <w:r w:rsidR="00DE217C">
        <w:t>agree</w:t>
      </w:r>
      <w:r w:rsidR="00306F91">
        <w:t>d</w:t>
      </w:r>
      <w:r w:rsidR="00DE217C">
        <w:t xml:space="preserve"> to through </w:t>
      </w:r>
      <w:r w:rsidR="003F3A25">
        <w:t>Improving</w:t>
      </w:r>
      <w:r w:rsidR="00831871">
        <w:t xml:space="preserve">, Vendors </w:t>
      </w:r>
      <w:r w:rsidR="00306F91">
        <w:t>or</w:t>
      </w:r>
      <w:r w:rsidR="00831871">
        <w:t xml:space="preserve"> third-party entit</w:t>
      </w:r>
      <w:r w:rsidR="00306F91">
        <w:t>ies</w:t>
      </w:r>
      <w:r w:rsidR="00831871">
        <w:t xml:space="preserve"> during participation in the Improving CSP Program.</w:t>
      </w:r>
    </w:p>
    <w:p w14:paraId="68C7EAA3" w14:textId="6F1CD669" w:rsidR="001D4A18" w:rsidRDefault="001D4A18" w:rsidP="00A53D6A">
      <w:pPr>
        <w:pStyle w:val="Heading1"/>
        <w:numPr>
          <w:ilvl w:val="0"/>
          <w:numId w:val="17"/>
        </w:numPr>
        <w:ind w:left="360"/>
      </w:pPr>
      <w:r>
        <w:t>General Terms and Conditions</w:t>
      </w:r>
    </w:p>
    <w:p w14:paraId="59B04F3F" w14:textId="43B924CA" w:rsidR="003808D2" w:rsidRPr="00A53D6A" w:rsidRDefault="003052DC" w:rsidP="00A53D6A">
      <w:pPr>
        <w:pStyle w:val="ListParagraph"/>
        <w:numPr>
          <w:ilvl w:val="1"/>
          <w:numId w:val="17"/>
        </w:numPr>
        <w:rPr>
          <w:b/>
        </w:rPr>
      </w:pPr>
      <w:r w:rsidRPr="00A53D6A">
        <w:rPr>
          <w:b/>
        </w:rPr>
        <w:t xml:space="preserve">Agreement.  </w:t>
      </w:r>
      <w:r w:rsidR="000B79E8">
        <w:t xml:space="preserve">Any contract or purchase order referencing these terms and sets </w:t>
      </w:r>
      <w:r w:rsidR="00FB56AA">
        <w:t>forth the complete agreement and supersedes all previous discussions and communications relating to the subject matter of this Agreement.</w:t>
      </w:r>
      <w:r w:rsidR="003808D2">
        <w:br/>
      </w:r>
    </w:p>
    <w:p w14:paraId="37F47392" w14:textId="30C52224" w:rsidR="003052DC" w:rsidRPr="003052DC" w:rsidRDefault="003808D2" w:rsidP="00974428">
      <w:pPr>
        <w:pStyle w:val="ListParagraph"/>
        <w:numPr>
          <w:ilvl w:val="1"/>
          <w:numId w:val="17"/>
        </w:numPr>
        <w:rPr>
          <w:b/>
        </w:rPr>
      </w:pPr>
      <w:r w:rsidRPr="003808D2">
        <w:rPr>
          <w:b/>
        </w:rPr>
        <w:t xml:space="preserve">Customer Master Consulting Agreement.  </w:t>
      </w:r>
      <w:r>
        <w:t xml:space="preserve">Should the Customer have </w:t>
      </w:r>
      <w:proofErr w:type="gramStart"/>
      <w:r>
        <w:t>a</w:t>
      </w:r>
      <w:proofErr w:type="gramEnd"/>
      <w:r>
        <w:t xml:space="preserve"> MCA (Master Consulting Agreement) with Improving, the terms of that agreement </w:t>
      </w:r>
      <w:r w:rsidR="000155C0">
        <w:t>supersede</w:t>
      </w:r>
      <w:r>
        <w:t xml:space="preserve"> this agreement.</w:t>
      </w:r>
      <w:r>
        <w:br/>
      </w:r>
    </w:p>
    <w:p w14:paraId="74F6A5F5" w14:textId="005C695F" w:rsidR="003052DC" w:rsidRPr="00974428" w:rsidRDefault="006F71AB" w:rsidP="00A53D6A">
      <w:pPr>
        <w:pStyle w:val="ListParagraph"/>
        <w:numPr>
          <w:ilvl w:val="1"/>
          <w:numId w:val="17"/>
        </w:numPr>
        <w:rPr>
          <w:b/>
        </w:rPr>
      </w:pPr>
      <w:r w:rsidRPr="00A53D6A">
        <w:rPr>
          <w:b/>
        </w:rPr>
        <w:t>Value Added Benefits</w:t>
      </w:r>
      <w:r w:rsidR="003052DC" w:rsidRPr="00A53D6A">
        <w:rPr>
          <w:b/>
        </w:rPr>
        <w:t>.</w:t>
      </w:r>
      <w:r w:rsidR="003052DC">
        <w:t xml:space="preserve">  </w:t>
      </w:r>
      <w:r w:rsidR="00436C65">
        <w:t xml:space="preserve">Improving may provide additional benefits and services </w:t>
      </w:r>
      <w:r w:rsidR="00A3412D">
        <w:t xml:space="preserve">in addition to Vendor Products as part of this Agreement.  Improving </w:t>
      </w:r>
      <w:proofErr w:type="gramStart"/>
      <w:r w:rsidR="00A3412D">
        <w:t>reserves</w:t>
      </w:r>
      <w:proofErr w:type="gramEnd"/>
      <w:r w:rsidR="00A3412D">
        <w:t xml:space="preserve"> the right to modify</w:t>
      </w:r>
      <w:r>
        <w:t xml:space="preserve"> or change </w:t>
      </w:r>
      <w:r w:rsidR="00651A49">
        <w:t xml:space="preserve">the definition, description and scope of these benefits and services at any time.  Customer will be notified of any changes </w:t>
      </w:r>
      <w:r w:rsidR="00E7487D">
        <w:t xml:space="preserve">through the support services provided within this Agreement as defined under the Improving CSP Support Agreement or by email or </w:t>
      </w:r>
      <w:r w:rsidR="000803D7">
        <w:t>regular mail.</w:t>
      </w:r>
      <w:r w:rsidR="00571221">
        <w:t xml:space="preserve">   Benefits and service</w:t>
      </w:r>
      <w:r w:rsidR="006D4CA3">
        <w:t xml:space="preserve"> provided and performed by Improving are non-transferrable.</w:t>
      </w:r>
    </w:p>
    <w:p w14:paraId="7443131D" w14:textId="77777777" w:rsidR="00974428" w:rsidRPr="00A53D6A" w:rsidRDefault="00974428" w:rsidP="00974428">
      <w:pPr>
        <w:pStyle w:val="ListParagraph"/>
        <w:ind w:left="360"/>
        <w:rPr>
          <w:b/>
        </w:rPr>
      </w:pPr>
    </w:p>
    <w:p w14:paraId="77D683AD" w14:textId="46F1F902" w:rsidR="00D021FB" w:rsidRDefault="00D021FB" w:rsidP="00A53D6A">
      <w:pPr>
        <w:pStyle w:val="Heading1"/>
        <w:numPr>
          <w:ilvl w:val="0"/>
          <w:numId w:val="17"/>
        </w:numPr>
        <w:ind w:left="360"/>
      </w:pPr>
      <w:r>
        <w:t>Privacy and Confidentiality</w:t>
      </w:r>
    </w:p>
    <w:p w14:paraId="3A1A98B3" w14:textId="541785A7" w:rsidR="001F4674" w:rsidRPr="00B86668" w:rsidRDefault="00260D08" w:rsidP="00A53D6A">
      <w:pPr>
        <w:pStyle w:val="ListParagraph"/>
        <w:numPr>
          <w:ilvl w:val="1"/>
          <w:numId w:val="17"/>
        </w:numPr>
      </w:pPr>
      <w:r w:rsidRPr="00A53D6A">
        <w:rPr>
          <w:b/>
        </w:rPr>
        <w:t>Collection of Information.</w:t>
      </w:r>
      <w:r w:rsidR="001F4674" w:rsidRPr="00A53D6A">
        <w:rPr>
          <w:b/>
        </w:rPr>
        <w:t xml:space="preserve">  </w:t>
      </w:r>
      <w:r w:rsidR="00AB1447" w:rsidRPr="00A53D6A">
        <w:rPr>
          <w:bCs/>
        </w:rPr>
        <w:t xml:space="preserve">Improving </w:t>
      </w:r>
      <w:r w:rsidR="008A6170" w:rsidRPr="00A53D6A">
        <w:rPr>
          <w:bCs/>
        </w:rPr>
        <w:t>may collect</w:t>
      </w:r>
      <w:r w:rsidR="00BF6D70" w:rsidRPr="00A53D6A">
        <w:rPr>
          <w:bCs/>
        </w:rPr>
        <w:t xml:space="preserve"> </w:t>
      </w:r>
      <w:r w:rsidR="009D5489" w:rsidRPr="00A53D6A">
        <w:rPr>
          <w:bCs/>
        </w:rPr>
        <w:t xml:space="preserve">Customer </w:t>
      </w:r>
      <w:r w:rsidR="00982C8F" w:rsidRPr="00A53D6A">
        <w:rPr>
          <w:bCs/>
        </w:rPr>
        <w:t>I</w:t>
      </w:r>
      <w:r w:rsidR="009D5489" w:rsidRPr="00A53D6A">
        <w:rPr>
          <w:bCs/>
        </w:rPr>
        <w:t xml:space="preserve">nformation </w:t>
      </w:r>
      <w:r w:rsidR="00E53BD2" w:rsidRPr="00A53D6A">
        <w:rPr>
          <w:bCs/>
        </w:rPr>
        <w:t xml:space="preserve">as necessary to provide the services </w:t>
      </w:r>
      <w:r w:rsidR="001F4F28" w:rsidRPr="00A53D6A">
        <w:rPr>
          <w:bCs/>
        </w:rPr>
        <w:t xml:space="preserve">under this Agreement.  This information may include </w:t>
      </w:r>
      <w:r w:rsidR="005B4A3B" w:rsidRPr="00A53D6A">
        <w:rPr>
          <w:bCs/>
        </w:rPr>
        <w:t xml:space="preserve">Confidential </w:t>
      </w:r>
      <w:r w:rsidR="001D1170" w:rsidRPr="00A53D6A">
        <w:rPr>
          <w:bCs/>
        </w:rPr>
        <w:t xml:space="preserve">Information </w:t>
      </w:r>
      <w:r w:rsidR="005B4A3B" w:rsidRPr="00A53D6A">
        <w:rPr>
          <w:bCs/>
        </w:rPr>
        <w:t>and Personal Data</w:t>
      </w:r>
      <w:r w:rsidR="00F161E2" w:rsidRPr="00A53D6A">
        <w:rPr>
          <w:bCs/>
        </w:rPr>
        <w:t xml:space="preserve"> </w:t>
      </w:r>
      <w:r w:rsidR="001D1170" w:rsidRPr="00A53D6A">
        <w:rPr>
          <w:bCs/>
        </w:rPr>
        <w:t>as made available by Customer</w:t>
      </w:r>
      <w:r w:rsidR="00EF6BD4" w:rsidRPr="00A53D6A">
        <w:rPr>
          <w:bCs/>
        </w:rPr>
        <w:t xml:space="preserve">, from Products and services provided, or from Customer </w:t>
      </w:r>
      <w:r w:rsidR="0033301D" w:rsidRPr="00A53D6A">
        <w:rPr>
          <w:bCs/>
        </w:rPr>
        <w:t>vendors, partners, affiliates or subsidiaries.</w:t>
      </w:r>
      <w:r w:rsidR="00B86668" w:rsidRPr="00A53D6A">
        <w:rPr>
          <w:bCs/>
        </w:rPr>
        <w:t xml:space="preserve">  </w:t>
      </w:r>
      <w:r w:rsidR="00812691" w:rsidRPr="00A53D6A">
        <w:rPr>
          <w:bCs/>
        </w:rPr>
        <w:t xml:space="preserve"> </w:t>
      </w:r>
    </w:p>
    <w:p w14:paraId="3C9363E2" w14:textId="77777777" w:rsidR="00B86668" w:rsidRDefault="00B86668" w:rsidP="00B86668">
      <w:pPr>
        <w:pStyle w:val="ListParagraph"/>
        <w:ind w:left="360"/>
      </w:pPr>
    </w:p>
    <w:p w14:paraId="30FFC599" w14:textId="6AA18851" w:rsidR="00283243" w:rsidRPr="00283243" w:rsidRDefault="00260D08" w:rsidP="00573806">
      <w:pPr>
        <w:pStyle w:val="ListParagraph"/>
        <w:numPr>
          <w:ilvl w:val="1"/>
          <w:numId w:val="17"/>
        </w:numPr>
      </w:pPr>
      <w:r w:rsidRPr="00136E61">
        <w:rPr>
          <w:b/>
        </w:rPr>
        <w:t>Use</w:t>
      </w:r>
      <w:r w:rsidR="00D56A76" w:rsidRPr="00136E61">
        <w:rPr>
          <w:b/>
        </w:rPr>
        <w:t xml:space="preserve"> </w:t>
      </w:r>
      <w:r w:rsidRPr="00136E61">
        <w:rPr>
          <w:b/>
        </w:rPr>
        <w:t>of Information.</w:t>
      </w:r>
      <w:r w:rsidR="00926369" w:rsidRPr="00136E61">
        <w:rPr>
          <w:b/>
        </w:rPr>
        <w:t xml:space="preserve">  </w:t>
      </w:r>
      <w:r w:rsidR="00D014FA" w:rsidRPr="00136E61">
        <w:rPr>
          <w:bCs/>
        </w:rPr>
        <w:t xml:space="preserve">Improving </w:t>
      </w:r>
      <w:r w:rsidR="006F2C0C" w:rsidRPr="00136E61">
        <w:rPr>
          <w:bCs/>
        </w:rPr>
        <w:t xml:space="preserve">collects </w:t>
      </w:r>
      <w:r w:rsidR="00982C8F">
        <w:rPr>
          <w:bCs/>
        </w:rPr>
        <w:t>Customer I</w:t>
      </w:r>
      <w:r w:rsidR="00136E61" w:rsidRPr="00136E61">
        <w:rPr>
          <w:bCs/>
        </w:rPr>
        <w:t>nformation primarily for the setup, delivery and ongoing performance of Services offered under this Agreement.  Improving may also use</w:t>
      </w:r>
      <w:r w:rsidR="00982C8F">
        <w:rPr>
          <w:bCs/>
        </w:rPr>
        <w:t xml:space="preserve"> Customer Information </w:t>
      </w:r>
      <w:r w:rsidR="00136E61" w:rsidRPr="00136E61">
        <w:rPr>
          <w:bCs/>
        </w:rPr>
        <w:t>to maintain, expand or improve Services or communicate with Customer pertaining to Services.</w:t>
      </w:r>
      <w:r w:rsidR="00AB26FB">
        <w:rPr>
          <w:bCs/>
        </w:rPr>
        <w:t xml:space="preserve">  </w:t>
      </w:r>
      <w:r w:rsidR="00527BDC" w:rsidRPr="00136E61">
        <w:rPr>
          <w:bCs/>
        </w:rPr>
        <w:t xml:space="preserve">Any Customer </w:t>
      </w:r>
      <w:r w:rsidR="00982C8F">
        <w:rPr>
          <w:bCs/>
        </w:rPr>
        <w:t>I</w:t>
      </w:r>
      <w:r w:rsidR="00527BDC" w:rsidRPr="00136E61">
        <w:rPr>
          <w:bCs/>
        </w:rPr>
        <w:t xml:space="preserve">nformation used </w:t>
      </w:r>
      <w:r w:rsidR="00461028" w:rsidRPr="00136E61">
        <w:rPr>
          <w:bCs/>
        </w:rPr>
        <w:t>fo</w:t>
      </w:r>
      <w:r w:rsidR="004B2FCE" w:rsidRPr="00136E61">
        <w:rPr>
          <w:bCs/>
        </w:rPr>
        <w:t xml:space="preserve">r public marketing campaigns, </w:t>
      </w:r>
      <w:r w:rsidR="00CC18DE" w:rsidRPr="00136E61">
        <w:rPr>
          <w:bCs/>
        </w:rPr>
        <w:t xml:space="preserve">communication with third-parties or </w:t>
      </w:r>
      <w:r w:rsidR="00946268" w:rsidRPr="00136E61">
        <w:rPr>
          <w:bCs/>
        </w:rPr>
        <w:t xml:space="preserve">any purpose for the benefit of Improving </w:t>
      </w:r>
      <w:r w:rsidR="008E6FD6" w:rsidRPr="00136E61">
        <w:rPr>
          <w:bCs/>
        </w:rPr>
        <w:t>will be anonymized unless express consent is provided by Customer.</w:t>
      </w:r>
    </w:p>
    <w:p w14:paraId="4205F901" w14:textId="77777777" w:rsidR="00283243" w:rsidRDefault="00283243" w:rsidP="00283243">
      <w:pPr>
        <w:pStyle w:val="ListParagraph"/>
      </w:pPr>
    </w:p>
    <w:p w14:paraId="4F6BE75A" w14:textId="0A38C5E2" w:rsidR="00283243" w:rsidRPr="007A56ED" w:rsidRDefault="00184F70" w:rsidP="00573806">
      <w:pPr>
        <w:pStyle w:val="ListParagraph"/>
        <w:numPr>
          <w:ilvl w:val="1"/>
          <w:numId w:val="17"/>
        </w:numPr>
      </w:pPr>
      <w:r>
        <w:rPr>
          <w:b/>
        </w:rPr>
        <w:lastRenderedPageBreak/>
        <w:t>Information Sharing.</w:t>
      </w:r>
      <w:r w:rsidR="0049392A">
        <w:rPr>
          <w:b/>
        </w:rPr>
        <w:t xml:space="preserve">  </w:t>
      </w:r>
      <w:r w:rsidR="00AB26FB">
        <w:rPr>
          <w:bCs/>
        </w:rPr>
        <w:t xml:space="preserve">Improving may share </w:t>
      </w:r>
      <w:r w:rsidR="00511094">
        <w:rPr>
          <w:bCs/>
        </w:rPr>
        <w:t xml:space="preserve">Customer Information with any law enforcement, regulatory, government agency, court, government official, or other third-party when required </w:t>
      </w:r>
      <w:r w:rsidR="00163BBC">
        <w:rPr>
          <w:bCs/>
        </w:rPr>
        <w:t>under any applicable law or regulation, to exercise, establish or defend Improving’s legal rights, or to protect Customer interests or those of any other person.</w:t>
      </w:r>
      <w:r w:rsidR="007A56ED">
        <w:rPr>
          <w:bCs/>
        </w:rPr>
        <w:t xml:space="preserve">  Improving may also share Customer Information as necessary to complete any transaction or provide Services under this Agreement.</w:t>
      </w:r>
    </w:p>
    <w:p w14:paraId="750828BD" w14:textId="77777777" w:rsidR="007A56ED" w:rsidRDefault="007A56ED" w:rsidP="007A56ED">
      <w:pPr>
        <w:pStyle w:val="ListParagraph"/>
      </w:pPr>
    </w:p>
    <w:p w14:paraId="52E1DFE5" w14:textId="1FDBED25" w:rsidR="00110A06" w:rsidRPr="00283243" w:rsidRDefault="00110A06" w:rsidP="00573806">
      <w:pPr>
        <w:pStyle w:val="ListParagraph"/>
        <w:numPr>
          <w:ilvl w:val="1"/>
          <w:numId w:val="17"/>
        </w:numPr>
      </w:pPr>
      <w:r>
        <w:rPr>
          <w:b/>
        </w:rPr>
        <w:t>Protection of Confidential Information.</w:t>
      </w:r>
      <w:r w:rsidR="002F2D85">
        <w:rPr>
          <w:b/>
        </w:rPr>
        <w:t xml:space="preserve">  </w:t>
      </w:r>
      <w:r w:rsidR="0076498D">
        <w:rPr>
          <w:bCs/>
        </w:rPr>
        <w:t>Improving takes all reasonable steps to protect Customer Information from misuse, interference and loss, as well as unauthorized access, modification or disclosure</w:t>
      </w:r>
      <w:r w:rsidR="007B0A03">
        <w:rPr>
          <w:bCs/>
        </w:rPr>
        <w:t>.</w:t>
      </w:r>
      <w:r w:rsidR="00EA0B92">
        <w:rPr>
          <w:bCs/>
        </w:rPr>
        <w:t xml:space="preserve"> </w:t>
      </w:r>
      <w:r w:rsidR="006B3B70">
        <w:rPr>
          <w:bCs/>
        </w:rPr>
        <w:t xml:space="preserve"> Improving deploys strong user access controls, s</w:t>
      </w:r>
      <w:r w:rsidR="00FD5301">
        <w:rPr>
          <w:bCs/>
        </w:rPr>
        <w:t xml:space="preserve">egmentation and isolation of </w:t>
      </w:r>
      <w:r w:rsidR="00BA206C">
        <w:rPr>
          <w:bCs/>
        </w:rPr>
        <w:t>storage of Confidential Information</w:t>
      </w:r>
      <w:r w:rsidR="00D2631A">
        <w:rPr>
          <w:bCs/>
        </w:rPr>
        <w:t xml:space="preserve"> and </w:t>
      </w:r>
      <w:r w:rsidR="0061213E">
        <w:rPr>
          <w:bCs/>
        </w:rPr>
        <w:t xml:space="preserve">comprehensive </w:t>
      </w:r>
      <w:r w:rsidR="004D2338">
        <w:rPr>
          <w:bCs/>
        </w:rPr>
        <w:t>employee policies.</w:t>
      </w:r>
    </w:p>
    <w:p w14:paraId="66D5FA8F" w14:textId="77777777" w:rsidR="00283243" w:rsidRDefault="00283243" w:rsidP="00283243">
      <w:pPr>
        <w:pStyle w:val="ListParagraph"/>
      </w:pPr>
    </w:p>
    <w:p w14:paraId="7B143876" w14:textId="4C4122D1" w:rsidR="00993C38" w:rsidRPr="00974428" w:rsidRDefault="00993C38" w:rsidP="00573806">
      <w:pPr>
        <w:pStyle w:val="ListParagraph"/>
        <w:numPr>
          <w:ilvl w:val="1"/>
          <w:numId w:val="17"/>
        </w:numPr>
      </w:pPr>
      <w:r>
        <w:rPr>
          <w:b/>
        </w:rPr>
        <w:t>Disclosure of Confidential Information.</w:t>
      </w:r>
      <w:r w:rsidR="00102B88">
        <w:rPr>
          <w:b/>
        </w:rPr>
        <w:t xml:space="preserve">  </w:t>
      </w:r>
      <w:r w:rsidR="00102B88">
        <w:rPr>
          <w:bCs/>
        </w:rPr>
        <w:t xml:space="preserve">Improving </w:t>
      </w:r>
      <w:r w:rsidR="00557FE9">
        <w:rPr>
          <w:bCs/>
        </w:rPr>
        <w:t xml:space="preserve">will not </w:t>
      </w:r>
      <w:r w:rsidR="000B071F">
        <w:rPr>
          <w:bCs/>
        </w:rPr>
        <w:t xml:space="preserve">disclose any Confidential Information </w:t>
      </w:r>
      <w:r w:rsidR="00557FE9">
        <w:rPr>
          <w:bCs/>
        </w:rPr>
        <w:t xml:space="preserve">to any third-party </w:t>
      </w:r>
      <w:r w:rsidR="004B5B03">
        <w:rPr>
          <w:bCs/>
        </w:rPr>
        <w:t xml:space="preserve">unless necessary for providing Services under this Agreement or as required by proper law enforcement </w:t>
      </w:r>
      <w:r w:rsidR="00CE4EFC">
        <w:rPr>
          <w:bCs/>
        </w:rPr>
        <w:t>requests.</w:t>
      </w:r>
      <w:r w:rsidR="00010BB3">
        <w:rPr>
          <w:bCs/>
        </w:rPr>
        <w:t xml:space="preserve">  </w:t>
      </w:r>
      <w:r w:rsidR="002C2006">
        <w:rPr>
          <w:bCs/>
        </w:rPr>
        <w:t>Improving requires a</w:t>
      </w:r>
      <w:r w:rsidR="00301A52">
        <w:rPr>
          <w:bCs/>
        </w:rPr>
        <w:t>ll third-parties</w:t>
      </w:r>
      <w:r w:rsidR="00DE0C88">
        <w:rPr>
          <w:bCs/>
        </w:rPr>
        <w:t xml:space="preserve">, Affiliates </w:t>
      </w:r>
      <w:r w:rsidR="0035689D">
        <w:rPr>
          <w:bCs/>
        </w:rPr>
        <w:t xml:space="preserve">and partners </w:t>
      </w:r>
      <w:r w:rsidR="000E48FD">
        <w:rPr>
          <w:bCs/>
        </w:rPr>
        <w:t xml:space="preserve">associated with Improving and the Services under this Agreement </w:t>
      </w:r>
      <w:r w:rsidR="005E4064">
        <w:rPr>
          <w:bCs/>
        </w:rPr>
        <w:t xml:space="preserve">are required to </w:t>
      </w:r>
      <w:r w:rsidR="00D249A8">
        <w:rPr>
          <w:bCs/>
        </w:rPr>
        <w:t xml:space="preserve">establish </w:t>
      </w:r>
      <w:r w:rsidR="00616E34">
        <w:rPr>
          <w:bCs/>
        </w:rPr>
        <w:t xml:space="preserve">a </w:t>
      </w:r>
      <w:r w:rsidR="00D249A8">
        <w:rPr>
          <w:bCs/>
        </w:rPr>
        <w:t xml:space="preserve">Non-Disclosure Agreement before any Confidential Information </w:t>
      </w:r>
      <w:r w:rsidR="00616E34">
        <w:rPr>
          <w:bCs/>
        </w:rPr>
        <w:t>may be disclosed to them.</w:t>
      </w:r>
    </w:p>
    <w:p w14:paraId="5C203E83" w14:textId="77777777" w:rsidR="00974428" w:rsidRDefault="00974428" w:rsidP="00974428">
      <w:pPr>
        <w:pStyle w:val="ListParagraph"/>
      </w:pPr>
    </w:p>
    <w:p w14:paraId="79E187B6" w14:textId="77777777" w:rsidR="00974428" w:rsidRPr="00D021FB" w:rsidRDefault="00974428" w:rsidP="00974428">
      <w:pPr>
        <w:pStyle w:val="ListParagraph"/>
        <w:ind w:left="360"/>
      </w:pPr>
    </w:p>
    <w:p w14:paraId="46050816" w14:textId="1CD7FE60" w:rsidR="00E36F5D" w:rsidRDefault="003553C7" w:rsidP="00573806">
      <w:pPr>
        <w:pStyle w:val="Heading1"/>
        <w:numPr>
          <w:ilvl w:val="0"/>
          <w:numId w:val="17"/>
        </w:numPr>
        <w:ind w:left="360"/>
      </w:pPr>
      <w:r>
        <w:t xml:space="preserve">Licensing, Subscriptions, </w:t>
      </w:r>
      <w:r w:rsidR="00E36F5D">
        <w:t>Pricing and Payment</w:t>
      </w:r>
    </w:p>
    <w:p w14:paraId="4002649F" w14:textId="1142F30B" w:rsidR="003553C7" w:rsidRPr="008A1CE0" w:rsidRDefault="00752015" w:rsidP="00573806">
      <w:pPr>
        <w:pStyle w:val="ListParagraph"/>
        <w:numPr>
          <w:ilvl w:val="1"/>
          <w:numId w:val="17"/>
        </w:numPr>
        <w:rPr>
          <w:b/>
        </w:rPr>
      </w:pPr>
      <w:r>
        <w:rPr>
          <w:b/>
        </w:rPr>
        <w:t>Licenses and Subscriptions.</w:t>
      </w:r>
      <w:r>
        <w:t xml:space="preserve">  The </w:t>
      </w:r>
      <w:r w:rsidR="005C6DE3">
        <w:t xml:space="preserve">general terms </w:t>
      </w:r>
      <w:r w:rsidR="001679D7">
        <w:t xml:space="preserve">for </w:t>
      </w:r>
      <w:r w:rsidR="005C6DE3">
        <w:t xml:space="preserve">licensing and subscribing to each Vendor Product is </w:t>
      </w:r>
      <w:r w:rsidR="0003336E">
        <w:t xml:space="preserve">governed by the Vendor’s terms and conditions, customer agreements, and end user license agreements.  Improving </w:t>
      </w:r>
      <w:r w:rsidR="001F0E82">
        <w:t xml:space="preserve">does not own or have any authority over each Vendor’s </w:t>
      </w:r>
      <w:r w:rsidR="001E647B">
        <w:t>terms and conditions and agreements pertaining to their Products.</w:t>
      </w:r>
    </w:p>
    <w:p w14:paraId="65E4F0F6" w14:textId="77777777" w:rsidR="008A1CE0" w:rsidRPr="008A1CE0" w:rsidRDefault="008A1CE0" w:rsidP="008A1CE0">
      <w:pPr>
        <w:pStyle w:val="ListParagraph"/>
        <w:ind w:left="360"/>
        <w:rPr>
          <w:b/>
        </w:rPr>
      </w:pPr>
    </w:p>
    <w:p w14:paraId="1D6D50ED" w14:textId="2441C320" w:rsidR="00752015" w:rsidRPr="00954F97" w:rsidRDefault="00B96964" w:rsidP="00573806">
      <w:pPr>
        <w:pStyle w:val="ListParagraph"/>
        <w:numPr>
          <w:ilvl w:val="1"/>
          <w:numId w:val="17"/>
        </w:numPr>
        <w:rPr>
          <w:b/>
        </w:rPr>
      </w:pPr>
      <w:r>
        <w:rPr>
          <w:b/>
        </w:rPr>
        <w:t xml:space="preserve">Subsidiaries and </w:t>
      </w:r>
      <w:r w:rsidR="008A1CE0">
        <w:rPr>
          <w:b/>
        </w:rPr>
        <w:t>Affiliates.</w:t>
      </w:r>
      <w:r w:rsidR="008A1CE0">
        <w:t xml:space="preserve">  </w:t>
      </w:r>
      <w:r>
        <w:t xml:space="preserve">Customer subsidiaries </w:t>
      </w:r>
      <w:r w:rsidR="00BA4F55">
        <w:t xml:space="preserve">and/or affiliates are not eligible for </w:t>
      </w:r>
      <w:r w:rsidR="006669D9">
        <w:t xml:space="preserve">Benefits under this </w:t>
      </w:r>
      <w:r w:rsidR="00391B21">
        <w:t>A</w:t>
      </w:r>
      <w:r w:rsidR="006669D9">
        <w:t xml:space="preserve">greement unless </w:t>
      </w:r>
      <w:r w:rsidR="00A06E44">
        <w:t>entire Customer organization is</w:t>
      </w:r>
      <w:r w:rsidR="007869E5">
        <w:t xml:space="preserve"> participating</w:t>
      </w:r>
      <w:r w:rsidR="00930733">
        <w:t xml:space="preserve"> in the Improving CSP Program.</w:t>
      </w:r>
    </w:p>
    <w:p w14:paraId="59A0BB3A" w14:textId="77777777" w:rsidR="00954F97" w:rsidRPr="00954F97" w:rsidRDefault="00954F97" w:rsidP="00954F97">
      <w:pPr>
        <w:pStyle w:val="ListParagraph"/>
        <w:rPr>
          <w:b/>
        </w:rPr>
      </w:pPr>
    </w:p>
    <w:p w14:paraId="59BA196E" w14:textId="1875F59E" w:rsidR="00C349CF" w:rsidRPr="00E061EE" w:rsidRDefault="00EB2F8C" w:rsidP="00974428">
      <w:pPr>
        <w:pStyle w:val="ListParagraph"/>
        <w:numPr>
          <w:ilvl w:val="1"/>
          <w:numId w:val="17"/>
        </w:numPr>
      </w:pPr>
      <w:r>
        <w:rPr>
          <w:b/>
        </w:rPr>
        <w:t xml:space="preserve">Pricing.  </w:t>
      </w:r>
      <w:r>
        <w:t xml:space="preserve">Improving </w:t>
      </w:r>
      <w:r w:rsidR="00F43F95">
        <w:t>will provide Customer with all s</w:t>
      </w:r>
      <w:r w:rsidR="00B118F9">
        <w:t xml:space="preserve">ervice and subscription </w:t>
      </w:r>
      <w:r w:rsidR="00F43F95">
        <w:t xml:space="preserve">pricing. </w:t>
      </w:r>
      <w:r w:rsidR="008732B7">
        <w:t xml:space="preserve"> Improving</w:t>
      </w:r>
      <w:r w:rsidR="00A73EEC">
        <w:t xml:space="preserve">, at its option, may change pricing for any services and subscriptions provided under this Agreement.  </w:t>
      </w:r>
      <w:r w:rsidR="002D42B4">
        <w:t xml:space="preserve">Any change in pricing will take effect at the beginning </w:t>
      </w:r>
      <w:r w:rsidR="008132A1">
        <w:t xml:space="preserve">of the new subscription term.  Improving will notify Customer of any such changes by </w:t>
      </w:r>
      <w:r w:rsidR="00F60D7E">
        <w:t>sending notice by e-mail or regular mail.</w:t>
      </w:r>
      <w:r w:rsidR="00E061EE">
        <w:br/>
      </w:r>
    </w:p>
    <w:p w14:paraId="3A333B06" w14:textId="6E142DE5" w:rsidR="008371EB" w:rsidRPr="0001074E" w:rsidRDefault="00C349CF" w:rsidP="00573806">
      <w:pPr>
        <w:pStyle w:val="ListParagraph"/>
        <w:numPr>
          <w:ilvl w:val="1"/>
          <w:numId w:val="17"/>
        </w:numPr>
        <w:rPr>
          <w:b/>
        </w:rPr>
      </w:pPr>
      <w:r>
        <w:rPr>
          <w:b/>
        </w:rPr>
        <w:t>Payments</w:t>
      </w:r>
      <w:r w:rsidR="009A2856">
        <w:rPr>
          <w:b/>
        </w:rPr>
        <w:t xml:space="preserve"> and Invoice</w:t>
      </w:r>
      <w:r w:rsidR="0001074E">
        <w:rPr>
          <w:b/>
        </w:rPr>
        <w:t>s</w:t>
      </w:r>
      <w:r>
        <w:rPr>
          <w:b/>
        </w:rPr>
        <w:t>.</w:t>
      </w:r>
      <w:r w:rsidR="00515F88">
        <w:rPr>
          <w:b/>
        </w:rPr>
        <w:t xml:space="preserve">  </w:t>
      </w:r>
      <w:r w:rsidR="0002470E">
        <w:rPr>
          <w:bCs/>
        </w:rPr>
        <w:t xml:space="preserve">Improving will invoice Customer </w:t>
      </w:r>
      <w:r w:rsidR="00B03DBE">
        <w:rPr>
          <w:bCs/>
        </w:rPr>
        <w:t xml:space="preserve">for all Services </w:t>
      </w:r>
      <w:r w:rsidR="004F39A3">
        <w:rPr>
          <w:bCs/>
        </w:rPr>
        <w:t>provided under this Agreement</w:t>
      </w:r>
      <w:r w:rsidR="0060049E">
        <w:rPr>
          <w:bCs/>
        </w:rPr>
        <w:t xml:space="preserve">.  </w:t>
      </w:r>
      <w:r w:rsidR="0001074E">
        <w:rPr>
          <w:bCs/>
        </w:rPr>
        <w:t>Cust</w:t>
      </w:r>
      <w:r w:rsidR="00717C32">
        <w:t xml:space="preserve">omer’s ability to </w:t>
      </w:r>
      <w:r w:rsidR="00A31C72">
        <w:t xml:space="preserve">pay by invoice is subject to Improving’s approval of Customer’s financial condition.  Customer authorizes Improving to obtain information about Customer’s financial condition, which may include credit reports, to assess Customer’s eligibility for invoicing.  Unless the Customer’s financial statements are publicly available, Customer may be required to provide their balance sheet, profit and loss and cash flow statements to Improving.  </w:t>
      </w:r>
      <w:r w:rsidR="009C3992">
        <w:t xml:space="preserve">  Customer may be required to provide security in a form acceptable to Improving to be eligible for invoicing.  </w:t>
      </w:r>
      <w:r>
        <w:lastRenderedPageBreak/>
        <w:t>Improving</w:t>
      </w:r>
      <w:r w:rsidR="008371EB">
        <w:t xml:space="preserve"> may withdraw Customer’s eligibility at any time and for any reason.  Customer must promptly notify Improving of any changes in its company name or location and of any significant changes in the ownership, structure, or operational activities of the organization.</w:t>
      </w:r>
    </w:p>
    <w:p w14:paraId="413534AC" w14:textId="77777777" w:rsidR="008371EB" w:rsidRPr="008371EB" w:rsidRDefault="008371EB" w:rsidP="008371EB">
      <w:pPr>
        <w:pStyle w:val="ListParagraph"/>
        <w:rPr>
          <w:b/>
        </w:rPr>
      </w:pPr>
    </w:p>
    <w:p w14:paraId="56202F92" w14:textId="1DB9F76D" w:rsidR="003B6205" w:rsidRPr="00724D9D" w:rsidRDefault="00034424" w:rsidP="00573806">
      <w:pPr>
        <w:pStyle w:val="ListParagraph"/>
        <w:numPr>
          <w:ilvl w:val="1"/>
          <w:numId w:val="17"/>
        </w:numPr>
        <w:rPr>
          <w:b/>
        </w:rPr>
      </w:pPr>
      <w:r w:rsidRPr="00034424">
        <w:rPr>
          <w:b/>
        </w:rPr>
        <w:t>Invoice Payment Terms.</w:t>
      </w:r>
      <w:r>
        <w:rPr>
          <w:b/>
        </w:rPr>
        <w:t xml:space="preserve">  </w:t>
      </w:r>
      <w:r w:rsidR="00724D9D">
        <w:t>Each invoice will identify the amounts payable by Customer to Improving for the period corresponding to the invoice.  Customer will pay all amounts due within thirty (30) calendar days following the invoice date.</w:t>
      </w:r>
    </w:p>
    <w:p w14:paraId="59A9A1E9" w14:textId="77777777" w:rsidR="00724D9D" w:rsidRPr="00724D9D" w:rsidRDefault="00724D9D" w:rsidP="00724D9D">
      <w:pPr>
        <w:pStyle w:val="ListParagraph"/>
        <w:rPr>
          <w:b/>
        </w:rPr>
      </w:pPr>
    </w:p>
    <w:p w14:paraId="79480ADD" w14:textId="06161A8D" w:rsidR="003B6205" w:rsidRPr="009E62B4" w:rsidRDefault="003B6205" w:rsidP="00573806">
      <w:pPr>
        <w:pStyle w:val="ListParagraph"/>
        <w:numPr>
          <w:ilvl w:val="1"/>
          <w:numId w:val="17"/>
        </w:numPr>
        <w:rPr>
          <w:b/>
        </w:rPr>
      </w:pPr>
      <w:r>
        <w:rPr>
          <w:b/>
        </w:rPr>
        <w:t>Late Payment.</w:t>
      </w:r>
      <w:r w:rsidR="00484E0E">
        <w:rPr>
          <w:b/>
        </w:rPr>
        <w:t xml:space="preserve">  </w:t>
      </w:r>
      <w:r w:rsidR="004F79F7">
        <w:t xml:space="preserve">Improving may, at is option, assess a late fee on any payments to Improving that are past due at a rate of </w:t>
      </w:r>
      <w:r w:rsidR="009E62B4">
        <w:t>two percent (2%) of the total amount payable, calculated and payable monthly, or the highest amount allowed by law, if less.</w:t>
      </w:r>
    </w:p>
    <w:p w14:paraId="092AA43F" w14:textId="77777777" w:rsidR="009E62B4" w:rsidRPr="009E62B4" w:rsidRDefault="009E62B4" w:rsidP="009E62B4">
      <w:pPr>
        <w:pStyle w:val="ListParagraph"/>
        <w:rPr>
          <w:b/>
        </w:rPr>
      </w:pPr>
    </w:p>
    <w:p w14:paraId="41665469" w14:textId="0502240D" w:rsidR="003B6205" w:rsidRPr="001B0AAC" w:rsidRDefault="003B6205" w:rsidP="00573806">
      <w:pPr>
        <w:pStyle w:val="ListParagraph"/>
        <w:numPr>
          <w:ilvl w:val="1"/>
          <w:numId w:val="17"/>
        </w:numPr>
        <w:rPr>
          <w:b/>
        </w:rPr>
      </w:pPr>
      <w:r>
        <w:rPr>
          <w:b/>
        </w:rPr>
        <w:t>Cancellation Fee.</w:t>
      </w:r>
      <w:r w:rsidR="00C77834">
        <w:rPr>
          <w:b/>
        </w:rPr>
        <w:t xml:space="preserve">  </w:t>
      </w:r>
      <w:r w:rsidR="001B0AAC">
        <w:t xml:space="preserve">If a subscription permits early termination and Customer cancels the subscription before the end of the subscription or billing period, Customer may be charged a cancellation fee.  </w:t>
      </w:r>
      <w:r w:rsidR="00EA3E46">
        <w:t>Cancellation of any subscription may not result in any reimbursement of any pre</w:t>
      </w:r>
      <w:r w:rsidR="00EB336E">
        <w:t xml:space="preserve">payments made for the subscription or waive </w:t>
      </w:r>
      <w:r w:rsidR="00347803">
        <w:t>payments required under the subscription billing period.</w:t>
      </w:r>
      <w:r w:rsidR="00EB336E">
        <w:t xml:space="preserve"> </w:t>
      </w:r>
    </w:p>
    <w:p w14:paraId="7DFC3D49" w14:textId="77777777" w:rsidR="001B0AAC" w:rsidRPr="001B0AAC" w:rsidRDefault="001B0AAC" w:rsidP="001B0AAC">
      <w:pPr>
        <w:pStyle w:val="ListParagraph"/>
        <w:rPr>
          <w:b/>
        </w:rPr>
      </w:pPr>
    </w:p>
    <w:p w14:paraId="3441CFFA" w14:textId="5180EF8C" w:rsidR="003B6205" w:rsidRPr="00D211E0" w:rsidRDefault="003B6205" w:rsidP="00573806">
      <w:pPr>
        <w:pStyle w:val="ListParagraph"/>
        <w:numPr>
          <w:ilvl w:val="1"/>
          <w:numId w:val="17"/>
        </w:numPr>
        <w:rPr>
          <w:b/>
        </w:rPr>
      </w:pPr>
      <w:r>
        <w:rPr>
          <w:b/>
        </w:rPr>
        <w:t>Recurring Payments.</w:t>
      </w:r>
      <w:r w:rsidR="00912457">
        <w:rPr>
          <w:b/>
        </w:rPr>
        <w:t xml:space="preserve">  </w:t>
      </w:r>
      <w:r w:rsidR="00912457">
        <w:t xml:space="preserve">For subscriptions that renew automatically, Customer authorizes Improving to invoice </w:t>
      </w:r>
      <w:r w:rsidR="00356BA9">
        <w:t xml:space="preserve">for each subscription or billing period until the subscription is terminated.  </w:t>
      </w:r>
    </w:p>
    <w:p w14:paraId="6619C3FF" w14:textId="77777777" w:rsidR="00D211E0" w:rsidRPr="00D211E0" w:rsidRDefault="00D211E0" w:rsidP="00D211E0">
      <w:pPr>
        <w:pStyle w:val="ListParagraph"/>
        <w:rPr>
          <w:b/>
        </w:rPr>
      </w:pPr>
    </w:p>
    <w:p w14:paraId="5B0FA534" w14:textId="574F327C" w:rsidR="008823FC" w:rsidRPr="00974428" w:rsidRDefault="003B6205" w:rsidP="00974428">
      <w:pPr>
        <w:pStyle w:val="ListParagraph"/>
        <w:numPr>
          <w:ilvl w:val="1"/>
          <w:numId w:val="17"/>
        </w:numPr>
        <w:rPr>
          <w:b/>
        </w:rPr>
      </w:pPr>
      <w:r>
        <w:rPr>
          <w:b/>
        </w:rPr>
        <w:t>Taxes.</w:t>
      </w:r>
      <w:r w:rsidR="008E6BCC">
        <w:rPr>
          <w:b/>
        </w:rPr>
        <w:t xml:space="preserve">  </w:t>
      </w:r>
      <w:r w:rsidR="008E6BCC">
        <w:t>Improving prices exclude applicable taxes unless identified as tax inclusive.  If any amounts are paid to Improving, Customer shall also pay any applicable value added, goods and services, sales, gross receipts, or other transaction taxes, fees, charges, or surcharges, or any regulatory cost recovery surcharges or similar amounts that are owed under this Agreement and that Improving is permitted to collect from Customer.</w:t>
      </w:r>
    </w:p>
    <w:p w14:paraId="736D897A" w14:textId="77777777" w:rsidR="00974428" w:rsidRPr="00974428" w:rsidRDefault="00974428" w:rsidP="00974428">
      <w:pPr>
        <w:pStyle w:val="ListParagraph"/>
        <w:rPr>
          <w:b/>
        </w:rPr>
      </w:pPr>
    </w:p>
    <w:p w14:paraId="14509B96" w14:textId="77777777" w:rsidR="00974428" w:rsidRPr="008823FC" w:rsidRDefault="00974428" w:rsidP="00974428">
      <w:pPr>
        <w:pStyle w:val="ListParagraph"/>
        <w:ind w:left="360"/>
        <w:rPr>
          <w:b/>
        </w:rPr>
      </w:pPr>
    </w:p>
    <w:p w14:paraId="5761B954" w14:textId="7D78DB35" w:rsidR="008823FC" w:rsidRDefault="008823FC" w:rsidP="00573806">
      <w:pPr>
        <w:pStyle w:val="Heading1"/>
        <w:numPr>
          <w:ilvl w:val="0"/>
          <w:numId w:val="17"/>
        </w:numPr>
        <w:ind w:left="360"/>
      </w:pPr>
      <w:r>
        <w:t>Term and Termination</w:t>
      </w:r>
    </w:p>
    <w:p w14:paraId="4CAA9105" w14:textId="1BDA351F" w:rsidR="008823FC" w:rsidRPr="00387CCA" w:rsidRDefault="00387CCA" w:rsidP="00536342">
      <w:pPr>
        <w:pStyle w:val="ListParagraph"/>
        <w:numPr>
          <w:ilvl w:val="1"/>
          <w:numId w:val="17"/>
        </w:numPr>
        <w:rPr>
          <w:b/>
        </w:rPr>
      </w:pPr>
      <w:r>
        <w:rPr>
          <w:b/>
        </w:rPr>
        <w:t xml:space="preserve">Term.  </w:t>
      </w:r>
      <w:r>
        <w:t>This Agreement is effective until terminated by a party, as described below.</w:t>
      </w:r>
    </w:p>
    <w:p w14:paraId="5735C7E9" w14:textId="77777777" w:rsidR="00387CCA" w:rsidRPr="00387CCA" w:rsidRDefault="00387CCA" w:rsidP="00387CCA">
      <w:pPr>
        <w:pStyle w:val="ListParagraph"/>
        <w:ind w:left="360"/>
        <w:rPr>
          <w:b/>
        </w:rPr>
      </w:pPr>
    </w:p>
    <w:p w14:paraId="748321F8" w14:textId="466BCCCC" w:rsidR="00387CCA" w:rsidRPr="00834DD0" w:rsidRDefault="00D23922" w:rsidP="00536342">
      <w:pPr>
        <w:pStyle w:val="ListParagraph"/>
        <w:numPr>
          <w:ilvl w:val="1"/>
          <w:numId w:val="17"/>
        </w:numPr>
        <w:rPr>
          <w:b/>
        </w:rPr>
      </w:pPr>
      <w:r>
        <w:rPr>
          <w:b/>
        </w:rPr>
        <w:t xml:space="preserve">Termination Without Cause.  </w:t>
      </w:r>
      <w:r>
        <w:t xml:space="preserve">Either party may terminate this Agreement without cause on </w:t>
      </w:r>
      <w:r w:rsidR="00362E3A">
        <w:t>sixty</w:t>
      </w:r>
      <w:r>
        <w:t xml:space="preserve"> (</w:t>
      </w:r>
      <w:r w:rsidR="00362E3A">
        <w:t>6</w:t>
      </w:r>
      <w:r>
        <w:t>0) day</w:t>
      </w:r>
      <w:r w:rsidR="002B7AE1">
        <w:t>s’ notice.  Termination without cause will not affect Customer’s</w:t>
      </w:r>
      <w:r w:rsidR="006F0FAA">
        <w:t xml:space="preserve"> perpetual licenses, and licenses grated on a subscription basis will continue for the duration of the subscription period, subject to the terms of this Agreement.</w:t>
      </w:r>
      <w:r w:rsidR="00EE1B57">
        <w:t xml:space="preserve">  </w:t>
      </w:r>
    </w:p>
    <w:p w14:paraId="726FC127" w14:textId="77777777" w:rsidR="00834DD0" w:rsidRPr="00834DD0" w:rsidRDefault="00834DD0" w:rsidP="00834DD0">
      <w:pPr>
        <w:pStyle w:val="ListParagraph"/>
        <w:rPr>
          <w:b/>
        </w:rPr>
      </w:pPr>
    </w:p>
    <w:p w14:paraId="1D376D7B" w14:textId="7C20E015" w:rsidR="00834DD0" w:rsidRPr="001C6481" w:rsidRDefault="00834DD0" w:rsidP="00536342">
      <w:pPr>
        <w:pStyle w:val="ListParagraph"/>
        <w:numPr>
          <w:ilvl w:val="1"/>
          <w:numId w:val="17"/>
        </w:numPr>
        <w:rPr>
          <w:b/>
        </w:rPr>
      </w:pPr>
      <w:r>
        <w:rPr>
          <w:b/>
        </w:rPr>
        <w:t>Termin</w:t>
      </w:r>
      <w:r w:rsidR="00367AD8">
        <w:rPr>
          <w:b/>
        </w:rPr>
        <w:t>ation</w:t>
      </w:r>
      <w:r w:rsidR="008343D0">
        <w:rPr>
          <w:b/>
        </w:rPr>
        <w:t xml:space="preserve"> </w:t>
      </w:r>
      <w:r w:rsidR="001C6481">
        <w:rPr>
          <w:b/>
        </w:rPr>
        <w:t xml:space="preserve">for Cause.  </w:t>
      </w:r>
      <w:r w:rsidR="001C6481">
        <w:t xml:space="preserve">Without limiting other </w:t>
      </w:r>
      <w:proofErr w:type="gramStart"/>
      <w:r w:rsidR="001C6481">
        <w:t>remedies</w:t>
      </w:r>
      <w:proofErr w:type="gramEnd"/>
      <w:r w:rsidR="001C6481">
        <w:t xml:space="preserve"> it may have, either party may terminate this Agreement on thirty (30) days’ notice for material breach if the other party fails to cure the breach within the thirty-day notice period.  Upon such termination, the following will apply:</w:t>
      </w:r>
    </w:p>
    <w:p w14:paraId="17793644" w14:textId="447D6D40" w:rsidR="001C6481" w:rsidRPr="00536342" w:rsidRDefault="00C04510" w:rsidP="00536342">
      <w:pPr>
        <w:pStyle w:val="ListParagraph"/>
        <w:numPr>
          <w:ilvl w:val="0"/>
          <w:numId w:val="19"/>
        </w:numPr>
        <w:ind w:left="720" w:hanging="360"/>
        <w:rPr>
          <w:b/>
        </w:rPr>
      </w:pPr>
      <w:r>
        <w:lastRenderedPageBreak/>
        <w:t xml:space="preserve">All licenses granted under this Agreement will terminate immediately except for </w:t>
      </w:r>
      <w:proofErr w:type="gramStart"/>
      <w:r>
        <w:t>fully-paid</w:t>
      </w:r>
      <w:proofErr w:type="gramEnd"/>
      <w:r>
        <w:t>, perpetual licenses.</w:t>
      </w:r>
    </w:p>
    <w:p w14:paraId="7FEA9814" w14:textId="0EF726F9" w:rsidR="00C04510" w:rsidRPr="00387580" w:rsidRDefault="00C04510" w:rsidP="00536342">
      <w:pPr>
        <w:pStyle w:val="ListParagraph"/>
        <w:numPr>
          <w:ilvl w:val="0"/>
          <w:numId w:val="19"/>
        </w:numPr>
        <w:ind w:left="720" w:hanging="360"/>
        <w:rPr>
          <w:b/>
        </w:rPr>
      </w:pPr>
      <w:r>
        <w:t xml:space="preserve">All amounts due under any unpaid invoices shall become due and payable immediately.  For metered </w:t>
      </w:r>
      <w:r w:rsidR="00387580">
        <w:t>Products billed periodically based on usage, Customer must immediately pay for unpaid usage as of the termination date.</w:t>
      </w:r>
    </w:p>
    <w:p w14:paraId="245A3651" w14:textId="19CC29C6" w:rsidR="00387580" w:rsidRPr="00536342" w:rsidRDefault="00D70966" w:rsidP="00536342">
      <w:pPr>
        <w:pStyle w:val="ListParagraph"/>
        <w:numPr>
          <w:ilvl w:val="0"/>
          <w:numId w:val="19"/>
        </w:numPr>
        <w:ind w:left="720" w:hanging="360"/>
        <w:rPr>
          <w:b/>
        </w:rPr>
      </w:pPr>
      <w:r>
        <w:t>If Improving is in breach, Customer will receive a credit for any subscription fees, including amounts paid in advance for unused consumption for any usage period after the termination date.</w:t>
      </w:r>
    </w:p>
    <w:p w14:paraId="486B636D" w14:textId="77777777" w:rsidR="00536342" w:rsidRPr="00536342" w:rsidRDefault="00536342" w:rsidP="00536342">
      <w:pPr>
        <w:pStyle w:val="ListParagraph"/>
        <w:rPr>
          <w:b/>
        </w:rPr>
      </w:pPr>
    </w:p>
    <w:p w14:paraId="29513985" w14:textId="104CD7C5" w:rsidR="00B14AF4" w:rsidRPr="00536342" w:rsidRDefault="00A97EB0" w:rsidP="00536342">
      <w:pPr>
        <w:pStyle w:val="ListParagraph"/>
        <w:numPr>
          <w:ilvl w:val="1"/>
          <w:numId w:val="17"/>
        </w:numPr>
        <w:rPr>
          <w:b/>
        </w:rPr>
      </w:pPr>
      <w:r w:rsidRPr="00536342">
        <w:rPr>
          <w:b/>
        </w:rPr>
        <w:t xml:space="preserve">Termination </w:t>
      </w:r>
      <w:r w:rsidR="00FB0A70" w:rsidRPr="00536342">
        <w:rPr>
          <w:b/>
        </w:rPr>
        <w:t>from Vendor.</w:t>
      </w:r>
      <w:r w:rsidR="00FB0A70">
        <w:t xml:space="preserve">  Improving is a Reseller of Vendor Products and has no ownership, authority or influence on continued availability of such Products.  </w:t>
      </w:r>
      <w:r w:rsidR="00244EA2">
        <w:t>Im</w:t>
      </w:r>
      <w:r w:rsidR="00ED65B4">
        <w:t>proving will passthrough, as its sole remedy,</w:t>
      </w:r>
      <w:r w:rsidR="00244EA2">
        <w:t xml:space="preserve"> </w:t>
      </w:r>
      <w:r w:rsidR="00C65529">
        <w:t>any credit for any subscription fees, including amounts paid in advance for unused consumption for any usage period after the termination date as awarded by Vendor or Provider.</w:t>
      </w:r>
      <w:r w:rsidR="000976B8">
        <w:t xml:space="preserve">  Improving </w:t>
      </w:r>
      <w:proofErr w:type="gramStart"/>
      <w:r w:rsidR="000976B8">
        <w:t>bears</w:t>
      </w:r>
      <w:proofErr w:type="gramEnd"/>
      <w:r w:rsidR="000976B8">
        <w:t xml:space="preserve"> no liability </w:t>
      </w:r>
      <w:r w:rsidR="004B1C40">
        <w:t xml:space="preserve">for reimbursement or credit of any </w:t>
      </w:r>
      <w:r w:rsidR="00A3151A">
        <w:t>for any such fees as a result of Vendor’s actions to modify, discontinue or terminate any Product.</w:t>
      </w:r>
    </w:p>
    <w:p w14:paraId="7C0033C7" w14:textId="3BE3659A" w:rsidR="00EE631D" w:rsidRDefault="00EE631D" w:rsidP="00EE631D">
      <w:pPr>
        <w:rPr>
          <w:b/>
        </w:rPr>
      </w:pPr>
    </w:p>
    <w:p w14:paraId="1DBD9D10" w14:textId="16016757" w:rsidR="00EE631D" w:rsidRDefault="00EE631D" w:rsidP="00F07F26">
      <w:pPr>
        <w:pStyle w:val="Heading1"/>
        <w:numPr>
          <w:ilvl w:val="0"/>
          <w:numId w:val="17"/>
        </w:numPr>
        <w:ind w:left="360"/>
      </w:pPr>
      <w:r>
        <w:t>Warranties and Limitation of Liability</w:t>
      </w:r>
    </w:p>
    <w:p w14:paraId="0C0736B2" w14:textId="5620E51F" w:rsidR="00EE631D" w:rsidRPr="00EB4061" w:rsidRDefault="00BE6FE9" w:rsidP="00F07F26">
      <w:pPr>
        <w:pStyle w:val="ListParagraph"/>
        <w:numPr>
          <w:ilvl w:val="1"/>
          <w:numId w:val="17"/>
        </w:numPr>
        <w:rPr>
          <w:b/>
        </w:rPr>
      </w:pPr>
      <w:r>
        <w:rPr>
          <w:b/>
        </w:rPr>
        <w:t>Product Warranties</w:t>
      </w:r>
      <w:r>
        <w:t xml:space="preserve">.  Improving </w:t>
      </w:r>
      <w:proofErr w:type="gramStart"/>
      <w:r w:rsidR="008F606B">
        <w:t>bears</w:t>
      </w:r>
      <w:proofErr w:type="gramEnd"/>
      <w:r w:rsidR="008F606B">
        <w:t xml:space="preserve"> no ownership or authority over Vendor Products and therefore </w:t>
      </w:r>
      <w:r w:rsidR="00243870">
        <w:t xml:space="preserve">grants no </w:t>
      </w:r>
      <w:r w:rsidR="008F606B">
        <w:t>warranties for</w:t>
      </w:r>
      <w:r w:rsidR="000B1209">
        <w:t xml:space="preserve"> such Products</w:t>
      </w:r>
      <w:r w:rsidR="00122396">
        <w:t xml:space="preserve"> as Products are</w:t>
      </w:r>
      <w:r w:rsidR="000B1209">
        <w:t xml:space="preserve"> governed by the Vendor’s terms and conditions, licensing agreements, or other agreements as stated by Vendor.</w:t>
      </w:r>
    </w:p>
    <w:p w14:paraId="028F6172" w14:textId="77777777" w:rsidR="00EB4061" w:rsidRPr="00EB4061" w:rsidRDefault="00EB4061" w:rsidP="00EB4061">
      <w:pPr>
        <w:pStyle w:val="ListParagraph"/>
        <w:ind w:left="360"/>
        <w:rPr>
          <w:b/>
        </w:rPr>
      </w:pPr>
    </w:p>
    <w:p w14:paraId="78CC9D0C" w14:textId="41A1793A" w:rsidR="00E3542E" w:rsidRPr="00E3542E" w:rsidRDefault="006B6345" w:rsidP="00F07F26">
      <w:pPr>
        <w:pStyle w:val="ListParagraph"/>
        <w:numPr>
          <w:ilvl w:val="1"/>
          <w:numId w:val="17"/>
        </w:numPr>
        <w:rPr>
          <w:b/>
        </w:rPr>
      </w:pPr>
      <w:r>
        <w:rPr>
          <w:b/>
        </w:rPr>
        <w:t xml:space="preserve">Indemnification.  </w:t>
      </w:r>
      <w:r>
        <w:t xml:space="preserve">Customer agrees to </w:t>
      </w:r>
      <w:r w:rsidR="00B27304">
        <w:t>defend, indemnify and hold harmless Improving, its affiliates</w:t>
      </w:r>
      <w:r w:rsidR="008A5917">
        <w:t>, and their respective directors, officers, shareholders, employees, agents, contractors and advisors (“Indemnified Parties”), from and against any claim, demand, liability, damage, losses, judgements, suit, action or cause of action, costs and expenses (including, without limitation, reasonable legal fees) arising directly out of Customer use of</w:t>
      </w:r>
      <w:r w:rsidR="00DF6689">
        <w:t xml:space="preserve"> services under this Agreement, including, but not limited to</w:t>
      </w:r>
      <w:r w:rsidR="00E3542E">
        <w:t>:</w:t>
      </w:r>
    </w:p>
    <w:p w14:paraId="01980638" w14:textId="77777777" w:rsidR="00E3542E" w:rsidRPr="00E3542E" w:rsidRDefault="00E3542E" w:rsidP="00E3542E">
      <w:pPr>
        <w:pStyle w:val="ListParagraph"/>
        <w:rPr>
          <w:b/>
        </w:rPr>
      </w:pPr>
    </w:p>
    <w:p w14:paraId="65E44781" w14:textId="795A059E" w:rsidR="00E3542E" w:rsidRPr="00786A0B" w:rsidRDefault="00786A0B" w:rsidP="00F07F26">
      <w:pPr>
        <w:pStyle w:val="ListParagraph"/>
        <w:numPr>
          <w:ilvl w:val="0"/>
          <w:numId w:val="20"/>
        </w:numPr>
        <w:ind w:left="720" w:hanging="360"/>
        <w:rPr>
          <w:b/>
        </w:rPr>
      </w:pPr>
      <w:r>
        <w:t>Customer breach or violation of any provision of this Agreement, including reasonable attorneys and associated advisor fees and costs;</w:t>
      </w:r>
    </w:p>
    <w:p w14:paraId="0E096E2E" w14:textId="63165E13" w:rsidR="00786A0B" w:rsidRPr="00386825" w:rsidRDefault="00786A0B" w:rsidP="00F07F26">
      <w:pPr>
        <w:pStyle w:val="ListParagraph"/>
        <w:numPr>
          <w:ilvl w:val="0"/>
          <w:numId w:val="20"/>
        </w:numPr>
        <w:ind w:left="720" w:hanging="360"/>
        <w:rPr>
          <w:b/>
        </w:rPr>
      </w:pPr>
      <w:r>
        <w:t xml:space="preserve">Customer use of any Product, including Customer </w:t>
      </w:r>
      <w:r w:rsidR="00386825">
        <w:t>publication or use of content that infringes the intellectual property rights of any third party, including, but not limited to, patent, copyright, and trade secrets;</w:t>
      </w:r>
    </w:p>
    <w:p w14:paraId="74F7CCE2" w14:textId="04F64ECB" w:rsidR="00386825" w:rsidRPr="0032199F" w:rsidRDefault="00386825" w:rsidP="0032199F">
      <w:pPr>
        <w:pStyle w:val="ListParagraph"/>
        <w:numPr>
          <w:ilvl w:val="0"/>
          <w:numId w:val="20"/>
        </w:numPr>
        <w:ind w:left="720" w:hanging="360"/>
        <w:rPr>
          <w:b/>
        </w:rPr>
      </w:pPr>
      <w:r>
        <w:t xml:space="preserve">Any action taken by Improving </w:t>
      </w:r>
      <w:r w:rsidR="00251D42">
        <w:t>in investigating a suspected violation of this Agreement or as result or finding that a violation has occurred;</w:t>
      </w:r>
    </w:p>
    <w:p w14:paraId="5F077E8C" w14:textId="534DBA77" w:rsidR="00251D42" w:rsidRPr="00251D42" w:rsidRDefault="00251D42" w:rsidP="0032199F">
      <w:pPr>
        <w:pStyle w:val="ListParagraph"/>
        <w:numPr>
          <w:ilvl w:val="0"/>
          <w:numId w:val="20"/>
        </w:numPr>
        <w:ind w:left="720" w:hanging="360"/>
        <w:rPr>
          <w:b/>
        </w:rPr>
      </w:pPr>
      <w:r>
        <w:t>Customer activities and use of the services under this Agreement that attract</w:t>
      </w:r>
      <w:r w:rsidR="00D276F8">
        <w:t>s</w:t>
      </w:r>
      <w:r>
        <w:t xml:space="preserve"> taxes and fees from government regulations including, without limitation, federal and/or state telecommunications regulations;</w:t>
      </w:r>
    </w:p>
    <w:p w14:paraId="2972E517" w14:textId="657702AF" w:rsidR="00251D42" w:rsidRPr="0087392F" w:rsidRDefault="00FD64DA" w:rsidP="0032199F">
      <w:pPr>
        <w:pStyle w:val="ListParagraph"/>
        <w:numPr>
          <w:ilvl w:val="0"/>
          <w:numId w:val="20"/>
        </w:numPr>
        <w:ind w:left="720" w:hanging="360"/>
        <w:rPr>
          <w:b/>
        </w:rPr>
      </w:pPr>
      <w:r>
        <w:lastRenderedPageBreak/>
        <w:t>Costs associated with document production, depositions, interrogatories and related demands arising out of private third party, governmental or regulatory claims in connection with the Products to the extent Improving is not a target.</w:t>
      </w:r>
    </w:p>
    <w:p w14:paraId="599DBD01" w14:textId="77777777" w:rsidR="0087392F" w:rsidRPr="0087392F" w:rsidRDefault="0087392F" w:rsidP="0087392F">
      <w:pPr>
        <w:pStyle w:val="ListParagraph"/>
        <w:rPr>
          <w:b/>
        </w:rPr>
      </w:pPr>
    </w:p>
    <w:p w14:paraId="55C3AD56" w14:textId="5547C656" w:rsidR="00DE2A18" w:rsidRPr="008A757B" w:rsidRDefault="006A4643" w:rsidP="0032199F">
      <w:pPr>
        <w:pStyle w:val="ListParagraph"/>
        <w:numPr>
          <w:ilvl w:val="1"/>
          <w:numId w:val="17"/>
        </w:numPr>
        <w:rPr>
          <w:b/>
        </w:rPr>
      </w:pPr>
      <w:r w:rsidRPr="009B6330">
        <w:rPr>
          <w:b/>
        </w:rPr>
        <w:t xml:space="preserve">Limitation of Liability.  </w:t>
      </w:r>
      <w:r w:rsidR="0070307D">
        <w:t xml:space="preserve">Improving and its Affiliates </w:t>
      </w:r>
      <w:r w:rsidR="001400D2">
        <w:t xml:space="preserve">bear no liability </w:t>
      </w:r>
      <w:r w:rsidR="00C33D70">
        <w:t xml:space="preserve">for any direct, indirect, incidental, special, consequential or exemplary damages as a result of </w:t>
      </w:r>
      <w:r w:rsidR="00BF7BC9">
        <w:t xml:space="preserve">access to or performance of the Products and services under this Agreement.  </w:t>
      </w:r>
      <w:r w:rsidR="009561A3">
        <w:t>Th</w:t>
      </w:r>
      <w:r w:rsidR="003F3E58">
        <w:t>ese</w:t>
      </w:r>
      <w:r w:rsidR="009561A3">
        <w:t xml:space="preserve"> damages inclu</w:t>
      </w:r>
      <w:r w:rsidR="003F3E58">
        <w:t>de</w:t>
      </w:r>
      <w:r w:rsidR="009561A3">
        <w:t xml:space="preserve">, but </w:t>
      </w:r>
      <w:r w:rsidR="003F3E58">
        <w:t xml:space="preserve">are </w:t>
      </w:r>
      <w:r w:rsidR="009561A3">
        <w:t xml:space="preserve">not limited to, </w:t>
      </w:r>
      <w:r w:rsidR="00B11734">
        <w:t>loss of profits or income, goodwill, use, data or other intangible losses.</w:t>
      </w:r>
      <w:r w:rsidR="00896A2C">
        <w:t xml:space="preserve">  </w:t>
      </w:r>
      <w:r w:rsidR="00935870">
        <w:t>Customer agrees to indemnify Improving and their Affiliates from a</w:t>
      </w:r>
      <w:r w:rsidR="00896A2C">
        <w:t xml:space="preserve">ny </w:t>
      </w:r>
      <w:r w:rsidR="00ED2AC8">
        <w:t xml:space="preserve">damages or losses </w:t>
      </w:r>
      <w:r w:rsidR="00F82D24">
        <w:t>incurred by Customer, or any of Customer’s Affiliates, partners, or related third-parties</w:t>
      </w:r>
      <w:r w:rsidR="005B05D8">
        <w:t xml:space="preserve">, as a result of </w:t>
      </w:r>
      <w:r w:rsidR="00896A2C">
        <w:t>disruption, use or the inability to use the services and Products under this Agreement</w:t>
      </w:r>
      <w:r w:rsidR="008A757B">
        <w:t>.</w:t>
      </w:r>
      <w:r w:rsidR="00901D67">
        <w:t xml:space="preserve">  </w:t>
      </w:r>
      <w:r w:rsidR="00624BBD">
        <w:t xml:space="preserve">Furthermore, </w:t>
      </w:r>
      <w:r w:rsidR="002312B1">
        <w:t xml:space="preserve">Customer acknowledges that Improving and its Affiliates are not liable for the defamatory, offensive or illegal conduct of third parties </w:t>
      </w:r>
      <w:r w:rsidR="00936A90">
        <w:t>or any content distributed, obtained or downloaded from the services and Products under this Agreement.</w:t>
      </w:r>
    </w:p>
    <w:p w14:paraId="319EE9CC" w14:textId="77777777" w:rsidR="008A757B" w:rsidRPr="005B05D8" w:rsidRDefault="008A757B" w:rsidP="008A757B">
      <w:pPr>
        <w:pStyle w:val="ListParagraph"/>
        <w:ind w:left="360"/>
        <w:rPr>
          <w:b/>
        </w:rPr>
      </w:pPr>
      <w:bookmarkStart w:id="0" w:name="_GoBack"/>
      <w:bookmarkEnd w:id="0"/>
    </w:p>
    <w:p w14:paraId="28C4936B" w14:textId="4CA1EEDD" w:rsidR="00DE2A18" w:rsidRDefault="00DE2A18" w:rsidP="0032199F">
      <w:pPr>
        <w:pStyle w:val="Heading1"/>
        <w:numPr>
          <w:ilvl w:val="0"/>
          <w:numId w:val="17"/>
        </w:numPr>
        <w:ind w:left="360"/>
      </w:pPr>
      <w:r>
        <w:t>Definitions</w:t>
      </w:r>
    </w:p>
    <w:p w14:paraId="41D2B9FE" w14:textId="175E5C7E" w:rsidR="00696BEC" w:rsidRPr="00696BEC" w:rsidRDefault="00DF3459" w:rsidP="00DE2A18">
      <w:pPr>
        <w:rPr>
          <w:bCs/>
        </w:rPr>
      </w:pPr>
      <w:r>
        <w:rPr>
          <w:b/>
        </w:rPr>
        <w:t>Confidential Information</w:t>
      </w:r>
      <w:r w:rsidR="009B62A0">
        <w:rPr>
          <w:b/>
        </w:rPr>
        <w:t xml:space="preserve"> </w:t>
      </w:r>
      <w:r w:rsidR="00696BEC">
        <w:rPr>
          <w:bCs/>
        </w:rPr>
        <w:t xml:space="preserve">means any information disclosed between Customer and Improving </w:t>
      </w:r>
      <w:r w:rsidR="00983444">
        <w:rPr>
          <w:bCs/>
        </w:rPr>
        <w:t xml:space="preserve">that is not publicly known </w:t>
      </w:r>
      <w:r w:rsidR="00A97D5A">
        <w:rPr>
          <w:bCs/>
        </w:rPr>
        <w:t>or made generally available in the public domain prior to the time of disclosure</w:t>
      </w:r>
      <w:r w:rsidR="000E3355">
        <w:rPr>
          <w:bCs/>
        </w:rPr>
        <w:t xml:space="preserve"> or </w:t>
      </w:r>
      <w:r w:rsidR="00D95B90">
        <w:rPr>
          <w:bCs/>
        </w:rPr>
        <w:t xml:space="preserve">becomes publicly available without breach of </w:t>
      </w:r>
      <w:r w:rsidR="00320788">
        <w:rPr>
          <w:bCs/>
        </w:rPr>
        <w:t>confidentiality obligations</w:t>
      </w:r>
      <w:r w:rsidR="000E3355">
        <w:rPr>
          <w:bCs/>
        </w:rPr>
        <w:t>.</w:t>
      </w:r>
    </w:p>
    <w:p w14:paraId="0005CEA6" w14:textId="550828C3" w:rsidR="00DE2A18" w:rsidRDefault="002041F7" w:rsidP="00DE2A18">
      <w:r>
        <w:rPr>
          <w:b/>
        </w:rPr>
        <w:t>Customer</w:t>
      </w:r>
      <w:r>
        <w:t xml:space="preserve"> means </w:t>
      </w:r>
      <w:r w:rsidR="00B57CDB">
        <w:t>the entity identified as such on the account associated with this Agre</w:t>
      </w:r>
      <w:r w:rsidR="000D0FDB">
        <w:t>ement.</w:t>
      </w:r>
    </w:p>
    <w:p w14:paraId="3AB74A3F" w14:textId="774DAC24" w:rsidR="00DF3459" w:rsidRDefault="00982C8F" w:rsidP="00DE2A18">
      <w:r w:rsidRPr="00982C8F">
        <w:rPr>
          <w:b/>
          <w:bCs/>
        </w:rPr>
        <w:t>Customer Informat</w:t>
      </w:r>
      <w:r>
        <w:rPr>
          <w:b/>
          <w:bCs/>
        </w:rPr>
        <w:t xml:space="preserve">ion </w:t>
      </w:r>
      <w:r>
        <w:t xml:space="preserve">includes all </w:t>
      </w:r>
      <w:r w:rsidR="00FD00A7">
        <w:t xml:space="preserve">Confidential Information and Personal Data </w:t>
      </w:r>
      <w:r w:rsidR="00DF3459">
        <w:t>pertaining to Customer.</w:t>
      </w:r>
    </w:p>
    <w:p w14:paraId="79D1DF7B" w14:textId="561F0300" w:rsidR="00DF3459" w:rsidRPr="001B366D" w:rsidRDefault="00DF3459" w:rsidP="00DE2A18">
      <w:r>
        <w:rPr>
          <w:b/>
          <w:bCs/>
        </w:rPr>
        <w:t>Personal Data</w:t>
      </w:r>
      <w:r w:rsidR="001B366D">
        <w:rPr>
          <w:b/>
          <w:bCs/>
        </w:rPr>
        <w:t xml:space="preserve"> </w:t>
      </w:r>
      <w:r w:rsidR="001B366D">
        <w:t xml:space="preserve">means </w:t>
      </w:r>
      <w:r w:rsidR="000C65DC">
        <w:t>any information that relates to an identified or identifiable individual</w:t>
      </w:r>
      <w:r w:rsidR="000E4589">
        <w:t>.</w:t>
      </w:r>
    </w:p>
    <w:p w14:paraId="094BC24C" w14:textId="28C2F721" w:rsidR="006371E5" w:rsidRPr="006371E5" w:rsidRDefault="006371E5" w:rsidP="00DE2A18">
      <w:pPr>
        <w:rPr>
          <w:bCs/>
        </w:rPr>
      </w:pPr>
      <w:r>
        <w:rPr>
          <w:b/>
        </w:rPr>
        <w:t>Product</w:t>
      </w:r>
      <w:r>
        <w:rPr>
          <w:bCs/>
        </w:rPr>
        <w:t xml:space="preserve"> refers to </w:t>
      </w:r>
      <w:r w:rsidR="00D92676">
        <w:rPr>
          <w:bCs/>
        </w:rPr>
        <w:t xml:space="preserve">any software, </w:t>
      </w:r>
      <w:r w:rsidR="00926C26">
        <w:rPr>
          <w:bCs/>
        </w:rPr>
        <w:t>device or service</w:t>
      </w:r>
      <w:r w:rsidR="00E55549">
        <w:rPr>
          <w:bCs/>
        </w:rPr>
        <w:t xml:space="preserve"> that is manufactured and sold by a Vendor or </w:t>
      </w:r>
      <w:r w:rsidR="00FC204B">
        <w:rPr>
          <w:bCs/>
        </w:rPr>
        <w:t>Improving.</w:t>
      </w:r>
    </w:p>
    <w:p w14:paraId="17C50EDA" w14:textId="2B4821F7" w:rsidR="00851FC5" w:rsidRPr="00851FC5" w:rsidRDefault="00851FC5" w:rsidP="00DE2A18">
      <w:r>
        <w:rPr>
          <w:b/>
        </w:rPr>
        <w:t>Provider</w:t>
      </w:r>
      <w:r>
        <w:t xml:space="preserve"> is the entity in which Improving has partnered with </w:t>
      </w:r>
      <w:r w:rsidR="00022C2B">
        <w:t>and is the distributor of products made available from Vendor.</w:t>
      </w:r>
    </w:p>
    <w:p w14:paraId="055F76E2" w14:textId="29D3E9CA" w:rsidR="006C37D0" w:rsidRDefault="006C37D0" w:rsidP="00DE2A18">
      <w:r>
        <w:rPr>
          <w:b/>
        </w:rPr>
        <w:t xml:space="preserve">Reseller </w:t>
      </w:r>
      <w:r>
        <w:t>refers to Improving</w:t>
      </w:r>
      <w:r w:rsidR="00273D48">
        <w:t xml:space="preserve">.  </w:t>
      </w:r>
      <w:r w:rsidR="000330A4">
        <w:t xml:space="preserve">Improving is an authorized reseller of </w:t>
      </w:r>
      <w:r w:rsidR="00276AE7">
        <w:t>Vendor’s products through a designated Provider.</w:t>
      </w:r>
    </w:p>
    <w:p w14:paraId="41BCC007" w14:textId="2FBE8226" w:rsidR="00DF3459" w:rsidRPr="00277B89" w:rsidRDefault="00DF3459" w:rsidP="00DE2A18">
      <w:r>
        <w:rPr>
          <w:b/>
          <w:bCs/>
        </w:rPr>
        <w:t>Services</w:t>
      </w:r>
      <w:r w:rsidR="00277B89">
        <w:rPr>
          <w:b/>
          <w:bCs/>
        </w:rPr>
        <w:t xml:space="preserve"> </w:t>
      </w:r>
      <w:r w:rsidR="00277B89">
        <w:t xml:space="preserve">means </w:t>
      </w:r>
      <w:r w:rsidR="00931BC9">
        <w:t>technical and non-technical solutions</w:t>
      </w:r>
      <w:r w:rsidR="00212D84">
        <w:t>,</w:t>
      </w:r>
      <w:r w:rsidR="00AC266E">
        <w:t xml:space="preserve"> as well as advice and guidance</w:t>
      </w:r>
      <w:r w:rsidR="00A1109B">
        <w:t>,</w:t>
      </w:r>
      <w:r w:rsidR="00AC266E">
        <w:t xml:space="preserve"> </w:t>
      </w:r>
      <w:r w:rsidR="003B506F">
        <w:t>acquired by Customer from Improving under this Agreement.</w:t>
      </w:r>
    </w:p>
    <w:p w14:paraId="1D0FCCEA" w14:textId="58450031" w:rsidR="00CC39C7" w:rsidRPr="00CC39C7" w:rsidRDefault="00CC39C7" w:rsidP="00DE2A18">
      <w:r>
        <w:rPr>
          <w:b/>
        </w:rPr>
        <w:t>Vendor</w:t>
      </w:r>
      <w:r>
        <w:t xml:space="preserve"> means </w:t>
      </w:r>
      <w:r w:rsidR="00337036">
        <w:t xml:space="preserve">the manufacturer or developer of a specific product, service, application or </w:t>
      </w:r>
      <w:r w:rsidR="00726BF7">
        <w:t>device</w:t>
      </w:r>
      <w:r w:rsidR="00337036">
        <w:t>.</w:t>
      </w:r>
    </w:p>
    <w:p w14:paraId="159D2534" w14:textId="77777777" w:rsidR="00851FC5" w:rsidRPr="006C37D0" w:rsidRDefault="00851FC5" w:rsidP="00DE2A18"/>
    <w:sectPr w:rsidR="00851FC5" w:rsidRPr="006C37D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5D6A0" w14:textId="77777777" w:rsidR="00623E1C" w:rsidRDefault="00623E1C" w:rsidP="005F3603">
      <w:pPr>
        <w:spacing w:after="0" w:line="240" w:lineRule="auto"/>
      </w:pPr>
      <w:r>
        <w:separator/>
      </w:r>
    </w:p>
  </w:endnote>
  <w:endnote w:type="continuationSeparator" w:id="0">
    <w:p w14:paraId="0ED14A9D" w14:textId="77777777" w:rsidR="00623E1C" w:rsidRDefault="00623E1C" w:rsidP="005F3603">
      <w:pPr>
        <w:spacing w:after="0" w:line="240" w:lineRule="auto"/>
      </w:pPr>
      <w:r>
        <w:continuationSeparator/>
      </w:r>
    </w:p>
  </w:endnote>
  <w:endnote w:type="continuationNotice" w:id="1">
    <w:p w14:paraId="327ECEE9" w14:textId="77777777" w:rsidR="00623E1C" w:rsidRDefault="00623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8AE1" w14:textId="77777777" w:rsidR="00AF6030" w:rsidRDefault="00AF6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8" w:type="dxa"/>
      <w:tblLook w:val="04A0" w:firstRow="1" w:lastRow="0" w:firstColumn="1" w:lastColumn="0" w:noHBand="0" w:noVBand="1"/>
    </w:tblPr>
    <w:tblGrid>
      <w:gridCol w:w="2178"/>
      <w:gridCol w:w="8100"/>
    </w:tblGrid>
    <w:tr w:rsidR="00154E96" w:rsidRPr="00345C00" w14:paraId="45E4EB1B" w14:textId="77777777" w:rsidTr="00154E96">
      <w:tc>
        <w:tcPr>
          <w:tcW w:w="2178" w:type="dxa"/>
        </w:tcPr>
        <w:p w14:paraId="6F18C382" w14:textId="77777777" w:rsidR="00154E96" w:rsidRPr="00345C00" w:rsidRDefault="00154E96" w:rsidP="005F3603">
          <w:pPr>
            <w:rPr>
              <w:rFonts w:asciiTheme="majorHAnsi" w:hAnsiTheme="majorHAnsi"/>
            </w:rPr>
          </w:pPr>
        </w:p>
      </w:tc>
      <w:tc>
        <w:tcPr>
          <w:tcW w:w="8100" w:type="dxa"/>
          <w:vAlign w:val="center"/>
        </w:tcPr>
        <w:p w14:paraId="24114731" w14:textId="77777777" w:rsidR="00154E96" w:rsidRPr="00345C00" w:rsidRDefault="00154E96" w:rsidP="005F3603">
          <w:pPr>
            <w:spacing w:after="0"/>
            <w:ind w:left="1410"/>
            <w:rPr>
              <w:rFonts w:asciiTheme="majorHAnsi" w:hAnsiTheme="majorHAnsi" w:cs="Aharoni"/>
              <w:b/>
              <w:bCs/>
              <w:caps/>
              <w:color w:val="243F60"/>
            </w:rPr>
          </w:pPr>
        </w:p>
      </w:tc>
    </w:tr>
  </w:tbl>
  <w:p w14:paraId="7A1C4F82" w14:textId="00B92F1E" w:rsidR="00154E96" w:rsidRDefault="00AF6030" w:rsidP="005F3603">
    <w:pPr>
      <w:pStyle w:val="Footer"/>
    </w:pPr>
    <w:r>
      <w:rPr>
        <w:b/>
        <w:sz w:val="18"/>
      </w:rPr>
      <w:t>Improving CSP – Program Terms and Conditions, rev. 01.02.2020</w:t>
    </w:r>
    <w:r w:rsidR="00154E96">
      <w:rPr>
        <w:noProof/>
      </w:rPr>
      <w:drawing>
        <wp:anchor distT="0" distB="0" distL="114300" distR="114300" simplePos="0" relativeHeight="251658240" behindDoc="0" locked="0" layoutInCell="1" allowOverlap="1" wp14:anchorId="1F9DF159" wp14:editId="0940A8CB">
          <wp:simplePos x="0" y="0"/>
          <wp:positionH relativeFrom="column">
            <wp:posOffset>5332344</wp:posOffset>
          </wp:positionH>
          <wp:positionV relativeFrom="paragraph">
            <wp:posOffset>109469</wp:posOffset>
          </wp:positionV>
          <wp:extent cx="1410830" cy="424433"/>
          <wp:effectExtent l="0" t="0" r="0" b="0"/>
          <wp:wrapThrough wrapText="bothSides">
            <wp:wrapPolygon edited="0">
              <wp:start x="17214" y="0"/>
              <wp:lineTo x="0" y="8731"/>
              <wp:lineTo x="0" y="19401"/>
              <wp:lineTo x="3209" y="20371"/>
              <wp:lineTo x="15755" y="20371"/>
              <wp:lineTo x="16047" y="20371"/>
              <wp:lineTo x="18381" y="15521"/>
              <wp:lineTo x="21299" y="6790"/>
              <wp:lineTo x="21299" y="970"/>
              <wp:lineTo x="19256" y="0"/>
              <wp:lineTo x="1721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0830" cy="424433"/>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36A3" w14:textId="77777777" w:rsidR="00AF6030" w:rsidRDefault="00AF6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4464F" w14:textId="77777777" w:rsidR="00623E1C" w:rsidRDefault="00623E1C" w:rsidP="005F3603">
      <w:pPr>
        <w:spacing w:after="0" w:line="240" w:lineRule="auto"/>
      </w:pPr>
      <w:r>
        <w:separator/>
      </w:r>
    </w:p>
  </w:footnote>
  <w:footnote w:type="continuationSeparator" w:id="0">
    <w:p w14:paraId="3CFC80B4" w14:textId="77777777" w:rsidR="00623E1C" w:rsidRDefault="00623E1C" w:rsidP="005F3603">
      <w:pPr>
        <w:spacing w:after="0" w:line="240" w:lineRule="auto"/>
      </w:pPr>
      <w:r>
        <w:continuationSeparator/>
      </w:r>
    </w:p>
  </w:footnote>
  <w:footnote w:type="continuationNotice" w:id="1">
    <w:p w14:paraId="308E39DD" w14:textId="77777777" w:rsidR="00623E1C" w:rsidRDefault="00623E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8FFD" w14:textId="77777777" w:rsidR="00AF6030" w:rsidRDefault="00AF6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0B68" w14:textId="77777777" w:rsidR="00AF6030" w:rsidRDefault="00AF6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7667" w14:textId="77777777" w:rsidR="00AF6030" w:rsidRDefault="00AF6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1A9"/>
    <w:multiLevelType w:val="hybridMultilevel"/>
    <w:tmpl w:val="4B72B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7F7C"/>
    <w:multiLevelType w:val="hybridMultilevel"/>
    <w:tmpl w:val="80245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32F1C"/>
    <w:multiLevelType w:val="hybridMultilevel"/>
    <w:tmpl w:val="11FAE77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661AB"/>
    <w:multiLevelType w:val="hybridMultilevel"/>
    <w:tmpl w:val="EE388A24"/>
    <w:lvl w:ilvl="0" w:tplc="2236CEF0">
      <w:start w:val="1"/>
      <w:numFmt w:val="lowerRoman"/>
      <w:lvlText w:val="%1."/>
      <w:lvlJc w:val="left"/>
      <w:pPr>
        <w:ind w:left="1440" w:hanging="72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D4795A"/>
    <w:multiLevelType w:val="hybridMultilevel"/>
    <w:tmpl w:val="9FE838AE"/>
    <w:lvl w:ilvl="0" w:tplc="E46CC4F4">
      <w:start w:val="1"/>
      <w:numFmt w:val="low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83092"/>
    <w:multiLevelType w:val="hybridMultilevel"/>
    <w:tmpl w:val="B0DECD0C"/>
    <w:lvl w:ilvl="0" w:tplc="04090019">
      <w:start w:val="1"/>
      <w:numFmt w:val="lowerLetter"/>
      <w:lvlText w:val="%1."/>
      <w:lvlJc w:val="left"/>
      <w:pPr>
        <w:ind w:left="720" w:hanging="360"/>
      </w:pPr>
      <w:rPr>
        <w:rFonts w:hint="default"/>
      </w:r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44BD1"/>
    <w:multiLevelType w:val="hybridMultilevel"/>
    <w:tmpl w:val="AE663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57391"/>
    <w:multiLevelType w:val="hybridMultilevel"/>
    <w:tmpl w:val="B2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96981"/>
    <w:multiLevelType w:val="multilevel"/>
    <w:tmpl w:val="3284620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72DD2"/>
    <w:multiLevelType w:val="hybridMultilevel"/>
    <w:tmpl w:val="C0F4DB8E"/>
    <w:lvl w:ilvl="0" w:tplc="1D1621E6">
      <w:start w:val="1"/>
      <w:numFmt w:val="lowerLetter"/>
      <w:lvlText w:val="%1."/>
      <w:lvlJc w:val="left"/>
      <w:pPr>
        <w:ind w:left="720" w:hanging="360"/>
      </w:pPr>
      <w:rPr>
        <w:rFonts w:hint="default"/>
        <w:b/>
      </w:rPr>
    </w:lvl>
    <w:lvl w:ilvl="1" w:tplc="79321408">
      <w:start w:val="1"/>
      <w:numFmt w:val="lowerRoman"/>
      <w:lvlText w:val="%2."/>
      <w:lvlJc w:val="righ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04679"/>
    <w:multiLevelType w:val="hybridMultilevel"/>
    <w:tmpl w:val="90E4E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54266"/>
    <w:multiLevelType w:val="hybridMultilevel"/>
    <w:tmpl w:val="D6A4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81AD2"/>
    <w:multiLevelType w:val="hybridMultilevel"/>
    <w:tmpl w:val="1BD03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D0289D"/>
    <w:multiLevelType w:val="hybridMultilevel"/>
    <w:tmpl w:val="26E44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C0C9F"/>
    <w:multiLevelType w:val="hybridMultilevel"/>
    <w:tmpl w:val="F0C20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532204"/>
    <w:multiLevelType w:val="hybridMultilevel"/>
    <w:tmpl w:val="121AB0BA"/>
    <w:lvl w:ilvl="0" w:tplc="56241E7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565DA"/>
    <w:multiLevelType w:val="hybridMultilevel"/>
    <w:tmpl w:val="E2F6B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A1335"/>
    <w:multiLevelType w:val="hybridMultilevel"/>
    <w:tmpl w:val="2DCC6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B231C"/>
    <w:multiLevelType w:val="hybridMultilevel"/>
    <w:tmpl w:val="1D22276A"/>
    <w:lvl w:ilvl="0" w:tplc="7592E8D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AD61D1"/>
    <w:multiLevelType w:val="hybridMultilevel"/>
    <w:tmpl w:val="88E68644"/>
    <w:lvl w:ilvl="0" w:tplc="42760C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6"/>
  </w:num>
  <w:num w:numId="4">
    <w:abstractNumId w:val="11"/>
  </w:num>
  <w:num w:numId="5">
    <w:abstractNumId w:val="1"/>
  </w:num>
  <w:num w:numId="6">
    <w:abstractNumId w:val="10"/>
  </w:num>
  <w:num w:numId="7">
    <w:abstractNumId w:val="13"/>
  </w:num>
  <w:num w:numId="8">
    <w:abstractNumId w:val="19"/>
  </w:num>
  <w:num w:numId="9">
    <w:abstractNumId w:val="0"/>
  </w:num>
  <w:num w:numId="10">
    <w:abstractNumId w:val="18"/>
  </w:num>
  <w:num w:numId="11">
    <w:abstractNumId w:val="16"/>
  </w:num>
  <w:num w:numId="12">
    <w:abstractNumId w:val="14"/>
  </w:num>
  <w:num w:numId="13">
    <w:abstractNumId w:val="5"/>
  </w:num>
  <w:num w:numId="14">
    <w:abstractNumId w:val="2"/>
  </w:num>
  <w:num w:numId="15">
    <w:abstractNumId w:val="7"/>
  </w:num>
  <w:num w:numId="16">
    <w:abstractNumId w:val="9"/>
  </w:num>
  <w:num w:numId="17">
    <w:abstractNumId w:val="8"/>
  </w:num>
  <w:num w:numId="18">
    <w:abstractNumId w:val="15"/>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2A"/>
    <w:rsid w:val="0000028D"/>
    <w:rsid w:val="000019DF"/>
    <w:rsid w:val="00005094"/>
    <w:rsid w:val="0001074E"/>
    <w:rsid w:val="00010BB3"/>
    <w:rsid w:val="00011533"/>
    <w:rsid w:val="000155C0"/>
    <w:rsid w:val="00020A45"/>
    <w:rsid w:val="00022C2B"/>
    <w:rsid w:val="0002470E"/>
    <w:rsid w:val="000330A4"/>
    <w:rsid w:val="0003336E"/>
    <w:rsid w:val="00034424"/>
    <w:rsid w:val="00035A60"/>
    <w:rsid w:val="000441AD"/>
    <w:rsid w:val="000472AD"/>
    <w:rsid w:val="00050716"/>
    <w:rsid w:val="000549B6"/>
    <w:rsid w:val="00054E08"/>
    <w:rsid w:val="00057649"/>
    <w:rsid w:val="000577A3"/>
    <w:rsid w:val="00057CF9"/>
    <w:rsid w:val="000667E1"/>
    <w:rsid w:val="000670E1"/>
    <w:rsid w:val="00076CA8"/>
    <w:rsid w:val="000803D7"/>
    <w:rsid w:val="00081D3B"/>
    <w:rsid w:val="000952E7"/>
    <w:rsid w:val="00095587"/>
    <w:rsid w:val="000976B8"/>
    <w:rsid w:val="000A1CBE"/>
    <w:rsid w:val="000B071F"/>
    <w:rsid w:val="000B1209"/>
    <w:rsid w:val="000B31C5"/>
    <w:rsid w:val="000B3958"/>
    <w:rsid w:val="000B79E8"/>
    <w:rsid w:val="000C0228"/>
    <w:rsid w:val="000C36F9"/>
    <w:rsid w:val="000C3854"/>
    <w:rsid w:val="000C65DC"/>
    <w:rsid w:val="000D0FDB"/>
    <w:rsid w:val="000D2CA9"/>
    <w:rsid w:val="000D3ACC"/>
    <w:rsid w:val="000D77F9"/>
    <w:rsid w:val="000E3355"/>
    <w:rsid w:val="000E4589"/>
    <w:rsid w:val="000E48FD"/>
    <w:rsid w:val="000E5506"/>
    <w:rsid w:val="000F3EF0"/>
    <w:rsid w:val="00101BB0"/>
    <w:rsid w:val="00102B88"/>
    <w:rsid w:val="00104015"/>
    <w:rsid w:val="00106ABD"/>
    <w:rsid w:val="00110A06"/>
    <w:rsid w:val="00113557"/>
    <w:rsid w:val="0012196D"/>
    <w:rsid w:val="00121A2B"/>
    <w:rsid w:val="00122396"/>
    <w:rsid w:val="00134071"/>
    <w:rsid w:val="00136E61"/>
    <w:rsid w:val="001400D2"/>
    <w:rsid w:val="00141A61"/>
    <w:rsid w:val="0015102F"/>
    <w:rsid w:val="00154E96"/>
    <w:rsid w:val="001570BE"/>
    <w:rsid w:val="00160BA3"/>
    <w:rsid w:val="00161EFD"/>
    <w:rsid w:val="00162D0C"/>
    <w:rsid w:val="00163BBC"/>
    <w:rsid w:val="00164858"/>
    <w:rsid w:val="001648AF"/>
    <w:rsid w:val="0016566B"/>
    <w:rsid w:val="001679D7"/>
    <w:rsid w:val="00170A82"/>
    <w:rsid w:val="00170DA2"/>
    <w:rsid w:val="001752E4"/>
    <w:rsid w:val="0018163F"/>
    <w:rsid w:val="00184F70"/>
    <w:rsid w:val="001854D5"/>
    <w:rsid w:val="001868ED"/>
    <w:rsid w:val="00194A67"/>
    <w:rsid w:val="001A7F1F"/>
    <w:rsid w:val="001B0AAC"/>
    <w:rsid w:val="001B28FF"/>
    <w:rsid w:val="001B2C45"/>
    <w:rsid w:val="001B366D"/>
    <w:rsid w:val="001B75E7"/>
    <w:rsid w:val="001C6481"/>
    <w:rsid w:val="001D1170"/>
    <w:rsid w:val="001D30CA"/>
    <w:rsid w:val="001D4A18"/>
    <w:rsid w:val="001D78E3"/>
    <w:rsid w:val="001E647B"/>
    <w:rsid w:val="001E7D94"/>
    <w:rsid w:val="001F00A5"/>
    <w:rsid w:val="001F0E82"/>
    <w:rsid w:val="001F1CEF"/>
    <w:rsid w:val="001F4674"/>
    <w:rsid w:val="001F4F28"/>
    <w:rsid w:val="001F69E9"/>
    <w:rsid w:val="00200860"/>
    <w:rsid w:val="002041F7"/>
    <w:rsid w:val="002045B4"/>
    <w:rsid w:val="00207717"/>
    <w:rsid w:val="0021005E"/>
    <w:rsid w:val="002119C2"/>
    <w:rsid w:val="00212D84"/>
    <w:rsid w:val="00213614"/>
    <w:rsid w:val="002312B1"/>
    <w:rsid w:val="0023410E"/>
    <w:rsid w:val="00243870"/>
    <w:rsid w:val="00243F25"/>
    <w:rsid w:val="0024496A"/>
    <w:rsid w:val="00244EA2"/>
    <w:rsid w:val="00251D42"/>
    <w:rsid w:val="00253F13"/>
    <w:rsid w:val="002550DB"/>
    <w:rsid w:val="00260D08"/>
    <w:rsid w:val="00272ABC"/>
    <w:rsid w:val="00273D48"/>
    <w:rsid w:val="00276AE7"/>
    <w:rsid w:val="00277B89"/>
    <w:rsid w:val="00283243"/>
    <w:rsid w:val="00292534"/>
    <w:rsid w:val="00293994"/>
    <w:rsid w:val="00296070"/>
    <w:rsid w:val="002B7AE1"/>
    <w:rsid w:val="002C2006"/>
    <w:rsid w:val="002C3894"/>
    <w:rsid w:val="002C52CC"/>
    <w:rsid w:val="002C6C17"/>
    <w:rsid w:val="002D1284"/>
    <w:rsid w:val="002D42B4"/>
    <w:rsid w:val="002D70AE"/>
    <w:rsid w:val="002E38AF"/>
    <w:rsid w:val="002F2D85"/>
    <w:rsid w:val="00301A52"/>
    <w:rsid w:val="00303DCA"/>
    <w:rsid w:val="00304A8C"/>
    <w:rsid w:val="00304F20"/>
    <w:rsid w:val="003052DC"/>
    <w:rsid w:val="0030578B"/>
    <w:rsid w:val="00306F91"/>
    <w:rsid w:val="003133B9"/>
    <w:rsid w:val="00320788"/>
    <w:rsid w:val="0032199F"/>
    <w:rsid w:val="00325357"/>
    <w:rsid w:val="00330207"/>
    <w:rsid w:val="00330C77"/>
    <w:rsid w:val="0033301D"/>
    <w:rsid w:val="00333A46"/>
    <w:rsid w:val="00337036"/>
    <w:rsid w:val="00347803"/>
    <w:rsid w:val="003543F9"/>
    <w:rsid w:val="003553C7"/>
    <w:rsid w:val="0035689D"/>
    <w:rsid w:val="00356BA9"/>
    <w:rsid w:val="0035772F"/>
    <w:rsid w:val="00362E3A"/>
    <w:rsid w:val="00362F65"/>
    <w:rsid w:val="00364AD3"/>
    <w:rsid w:val="003675A1"/>
    <w:rsid w:val="00367AD8"/>
    <w:rsid w:val="0037143E"/>
    <w:rsid w:val="00373B59"/>
    <w:rsid w:val="003808D2"/>
    <w:rsid w:val="00383F18"/>
    <w:rsid w:val="00386825"/>
    <w:rsid w:val="00387580"/>
    <w:rsid w:val="00387CCA"/>
    <w:rsid w:val="003911C3"/>
    <w:rsid w:val="00391B21"/>
    <w:rsid w:val="003926FF"/>
    <w:rsid w:val="003A037E"/>
    <w:rsid w:val="003A2BD9"/>
    <w:rsid w:val="003B08F5"/>
    <w:rsid w:val="003B2AE6"/>
    <w:rsid w:val="003B506F"/>
    <w:rsid w:val="003B6205"/>
    <w:rsid w:val="003C7256"/>
    <w:rsid w:val="003D3737"/>
    <w:rsid w:val="003D5FA8"/>
    <w:rsid w:val="003D7D44"/>
    <w:rsid w:val="003E087B"/>
    <w:rsid w:val="003E233A"/>
    <w:rsid w:val="003E33D3"/>
    <w:rsid w:val="003F3A25"/>
    <w:rsid w:val="003F3E58"/>
    <w:rsid w:val="00401552"/>
    <w:rsid w:val="0040689E"/>
    <w:rsid w:val="00411B70"/>
    <w:rsid w:val="00412669"/>
    <w:rsid w:val="004140C3"/>
    <w:rsid w:val="00416021"/>
    <w:rsid w:val="00427013"/>
    <w:rsid w:val="004277DA"/>
    <w:rsid w:val="004324EC"/>
    <w:rsid w:val="00432AD1"/>
    <w:rsid w:val="004330DB"/>
    <w:rsid w:val="004334BF"/>
    <w:rsid w:val="00435C3A"/>
    <w:rsid w:val="00436C65"/>
    <w:rsid w:val="00452A03"/>
    <w:rsid w:val="00452D94"/>
    <w:rsid w:val="00461028"/>
    <w:rsid w:val="004661BC"/>
    <w:rsid w:val="00472685"/>
    <w:rsid w:val="0047552A"/>
    <w:rsid w:val="00484E0E"/>
    <w:rsid w:val="00491B5F"/>
    <w:rsid w:val="0049392A"/>
    <w:rsid w:val="004945A2"/>
    <w:rsid w:val="00495B97"/>
    <w:rsid w:val="004A2BAE"/>
    <w:rsid w:val="004A2FE3"/>
    <w:rsid w:val="004B1C40"/>
    <w:rsid w:val="004B2FCE"/>
    <w:rsid w:val="004B5B03"/>
    <w:rsid w:val="004C4C20"/>
    <w:rsid w:val="004D10B0"/>
    <w:rsid w:val="004D201E"/>
    <w:rsid w:val="004D2338"/>
    <w:rsid w:val="004D5C3C"/>
    <w:rsid w:val="004D6EB6"/>
    <w:rsid w:val="004D77D5"/>
    <w:rsid w:val="004D7BBD"/>
    <w:rsid w:val="004E3473"/>
    <w:rsid w:val="004E391D"/>
    <w:rsid w:val="004F2E22"/>
    <w:rsid w:val="004F39A3"/>
    <w:rsid w:val="004F42C8"/>
    <w:rsid w:val="004F50BD"/>
    <w:rsid w:val="004F79F7"/>
    <w:rsid w:val="00501068"/>
    <w:rsid w:val="00501F3E"/>
    <w:rsid w:val="00505279"/>
    <w:rsid w:val="00511094"/>
    <w:rsid w:val="00515F88"/>
    <w:rsid w:val="00523B31"/>
    <w:rsid w:val="00527BDC"/>
    <w:rsid w:val="00530D67"/>
    <w:rsid w:val="00531E74"/>
    <w:rsid w:val="00536342"/>
    <w:rsid w:val="00557FE9"/>
    <w:rsid w:val="0056436E"/>
    <w:rsid w:val="00565FBF"/>
    <w:rsid w:val="00571221"/>
    <w:rsid w:val="00573806"/>
    <w:rsid w:val="00574D64"/>
    <w:rsid w:val="005809BD"/>
    <w:rsid w:val="00584613"/>
    <w:rsid w:val="00593DAC"/>
    <w:rsid w:val="005A657A"/>
    <w:rsid w:val="005B05D8"/>
    <w:rsid w:val="005B0B69"/>
    <w:rsid w:val="005B32A1"/>
    <w:rsid w:val="005B4A3B"/>
    <w:rsid w:val="005C6DE3"/>
    <w:rsid w:val="005D105C"/>
    <w:rsid w:val="005D4571"/>
    <w:rsid w:val="005D4999"/>
    <w:rsid w:val="005E2DA0"/>
    <w:rsid w:val="005E4064"/>
    <w:rsid w:val="005F1A9B"/>
    <w:rsid w:val="005F3603"/>
    <w:rsid w:val="005F78A6"/>
    <w:rsid w:val="0060049E"/>
    <w:rsid w:val="006047EC"/>
    <w:rsid w:val="0061213E"/>
    <w:rsid w:val="00614888"/>
    <w:rsid w:val="00616E34"/>
    <w:rsid w:val="00617248"/>
    <w:rsid w:val="00622176"/>
    <w:rsid w:val="00623E1C"/>
    <w:rsid w:val="00624BBD"/>
    <w:rsid w:val="00630B6B"/>
    <w:rsid w:val="00631074"/>
    <w:rsid w:val="006371E5"/>
    <w:rsid w:val="00651A49"/>
    <w:rsid w:val="00664A95"/>
    <w:rsid w:val="006669D9"/>
    <w:rsid w:val="00666B24"/>
    <w:rsid w:val="0067063A"/>
    <w:rsid w:val="00683B94"/>
    <w:rsid w:val="00684C0F"/>
    <w:rsid w:val="00696BEC"/>
    <w:rsid w:val="00697B62"/>
    <w:rsid w:val="006A368A"/>
    <w:rsid w:val="006A4643"/>
    <w:rsid w:val="006A7F89"/>
    <w:rsid w:val="006B01D7"/>
    <w:rsid w:val="006B3B70"/>
    <w:rsid w:val="006B6345"/>
    <w:rsid w:val="006B7BA6"/>
    <w:rsid w:val="006C15DF"/>
    <w:rsid w:val="006C37D0"/>
    <w:rsid w:val="006C78E7"/>
    <w:rsid w:val="006D4CA3"/>
    <w:rsid w:val="006E3276"/>
    <w:rsid w:val="006F044C"/>
    <w:rsid w:val="006F0527"/>
    <w:rsid w:val="006F0FAA"/>
    <w:rsid w:val="006F2C0C"/>
    <w:rsid w:val="006F71AB"/>
    <w:rsid w:val="0070307D"/>
    <w:rsid w:val="00711DEA"/>
    <w:rsid w:val="00717C32"/>
    <w:rsid w:val="00717F6E"/>
    <w:rsid w:val="00721672"/>
    <w:rsid w:val="00724D9D"/>
    <w:rsid w:val="00726BF7"/>
    <w:rsid w:val="00734153"/>
    <w:rsid w:val="007402BF"/>
    <w:rsid w:val="007438EA"/>
    <w:rsid w:val="00746486"/>
    <w:rsid w:val="00752015"/>
    <w:rsid w:val="007559A5"/>
    <w:rsid w:val="00761629"/>
    <w:rsid w:val="0076370E"/>
    <w:rsid w:val="0076498D"/>
    <w:rsid w:val="00766CAE"/>
    <w:rsid w:val="0077382D"/>
    <w:rsid w:val="00782067"/>
    <w:rsid w:val="0078462F"/>
    <w:rsid w:val="007869E5"/>
    <w:rsid w:val="00786A0B"/>
    <w:rsid w:val="00792FCD"/>
    <w:rsid w:val="00793D6F"/>
    <w:rsid w:val="00794885"/>
    <w:rsid w:val="007A18C6"/>
    <w:rsid w:val="007A4B79"/>
    <w:rsid w:val="007A56ED"/>
    <w:rsid w:val="007B0A03"/>
    <w:rsid w:val="007B20FD"/>
    <w:rsid w:val="007D188C"/>
    <w:rsid w:val="007D29DA"/>
    <w:rsid w:val="007D5738"/>
    <w:rsid w:val="00802B0B"/>
    <w:rsid w:val="00811C6C"/>
    <w:rsid w:val="008120A9"/>
    <w:rsid w:val="00812691"/>
    <w:rsid w:val="008132A1"/>
    <w:rsid w:val="00815872"/>
    <w:rsid w:val="00816C92"/>
    <w:rsid w:val="00817748"/>
    <w:rsid w:val="00831871"/>
    <w:rsid w:val="008319A9"/>
    <w:rsid w:val="008327EF"/>
    <w:rsid w:val="008343D0"/>
    <w:rsid w:val="00834DD0"/>
    <w:rsid w:val="008371EB"/>
    <w:rsid w:val="00840DEB"/>
    <w:rsid w:val="00841F74"/>
    <w:rsid w:val="00843B1C"/>
    <w:rsid w:val="008503C7"/>
    <w:rsid w:val="00851A92"/>
    <w:rsid w:val="00851FC5"/>
    <w:rsid w:val="00863509"/>
    <w:rsid w:val="00867E73"/>
    <w:rsid w:val="008732B7"/>
    <w:rsid w:val="0087392F"/>
    <w:rsid w:val="00876551"/>
    <w:rsid w:val="00877234"/>
    <w:rsid w:val="00880091"/>
    <w:rsid w:val="008823FC"/>
    <w:rsid w:val="008864C3"/>
    <w:rsid w:val="00890729"/>
    <w:rsid w:val="008938AE"/>
    <w:rsid w:val="00896A2C"/>
    <w:rsid w:val="008A1CE0"/>
    <w:rsid w:val="008A5917"/>
    <w:rsid w:val="008A6170"/>
    <w:rsid w:val="008A757B"/>
    <w:rsid w:val="008C4B3D"/>
    <w:rsid w:val="008C4C7B"/>
    <w:rsid w:val="008C7A17"/>
    <w:rsid w:val="008D39A0"/>
    <w:rsid w:val="008D4BB9"/>
    <w:rsid w:val="008E0D24"/>
    <w:rsid w:val="008E6BCC"/>
    <w:rsid w:val="008E6FD6"/>
    <w:rsid w:val="008F044E"/>
    <w:rsid w:val="008F3C83"/>
    <w:rsid w:val="008F606B"/>
    <w:rsid w:val="00901453"/>
    <w:rsid w:val="00901D67"/>
    <w:rsid w:val="00902ACE"/>
    <w:rsid w:val="00910E5C"/>
    <w:rsid w:val="00912457"/>
    <w:rsid w:val="00912881"/>
    <w:rsid w:val="00916D22"/>
    <w:rsid w:val="009171A6"/>
    <w:rsid w:val="00926369"/>
    <w:rsid w:val="00926606"/>
    <w:rsid w:val="00926C26"/>
    <w:rsid w:val="00930733"/>
    <w:rsid w:val="00931233"/>
    <w:rsid w:val="009316AC"/>
    <w:rsid w:val="00931BC9"/>
    <w:rsid w:val="00931F04"/>
    <w:rsid w:val="00935870"/>
    <w:rsid w:val="009358F7"/>
    <w:rsid w:val="00936A90"/>
    <w:rsid w:val="009403F3"/>
    <w:rsid w:val="00946268"/>
    <w:rsid w:val="00946F13"/>
    <w:rsid w:val="00954F97"/>
    <w:rsid w:val="009561A3"/>
    <w:rsid w:val="009720E9"/>
    <w:rsid w:val="00972C70"/>
    <w:rsid w:val="00974428"/>
    <w:rsid w:val="00982A88"/>
    <w:rsid w:val="00982C8F"/>
    <w:rsid w:val="00983444"/>
    <w:rsid w:val="009869C9"/>
    <w:rsid w:val="00993A47"/>
    <w:rsid w:val="00993C38"/>
    <w:rsid w:val="009A0A8E"/>
    <w:rsid w:val="009A2856"/>
    <w:rsid w:val="009A53EE"/>
    <w:rsid w:val="009A5AB4"/>
    <w:rsid w:val="009B28C8"/>
    <w:rsid w:val="009B2C40"/>
    <w:rsid w:val="009B5E0E"/>
    <w:rsid w:val="009B5E64"/>
    <w:rsid w:val="009B62A0"/>
    <w:rsid w:val="009B6330"/>
    <w:rsid w:val="009C0EE7"/>
    <w:rsid w:val="009C3992"/>
    <w:rsid w:val="009C3DEA"/>
    <w:rsid w:val="009C6A1F"/>
    <w:rsid w:val="009C74FF"/>
    <w:rsid w:val="009D0C1A"/>
    <w:rsid w:val="009D5489"/>
    <w:rsid w:val="009D78AE"/>
    <w:rsid w:val="009E0C12"/>
    <w:rsid w:val="009E62B4"/>
    <w:rsid w:val="009F570C"/>
    <w:rsid w:val="009F62AF"/>
    <w:rsid w:val="009F746E"/>
    <w:rsid w:val="00A06E44"/>
    <w:rsid w:val="00A1109B"/>
    <w:rsid w:val="00A1390D"/>
    <w:rsid w:val="00A3151A"/>
    <w:rsid w:val="00A31C72"/>
    <w:rsid w:val="00A3412D"/>
    <w:rsid w:val="00A3498D"/>
    <w:rsid w:val="00A407C0"/>
    <w:rsid w:val="00A41303"/>
    <w:rsid w:val="00A418DD"/>
    <w:rsid w:val="00A44654"/>
    <w:rsid w:val="00A44B13"/>
    <w:rsid w:val="00A53D6A"/>
    <w:rsid w:val="00A6092D"/>
    <w:rsid w:val="00A724EC"/>
    <w:rsid w:val="00A73EEC"/>
    <w:rsid w:val="00A74C6D"/>
    <w:rsid w:val="00A76DB6"/>
    <w:rsid w:val="00A81F8B"/>
    <w:rsid w:val="00A82AD9"/>
    <w:rsid w:val="00A96898"/>
    <w:rsid w:val="00A97B01"/>
    <w:rsid w:val="00A97D5A"/>
    <w:rsid w:val="00A97EB0"/>
    <w:rsid w:val="00AA770E"/>
    <w:rsid w:val="00AB1447"/>
    <w:rsid w:val="00AB26FB"/>
    <w:rsid w:val="00AB77CA"/>
    <w:rsid w:val="00AC0018"/>
    <w:rsid w:val="00AC266E"/>
    <w:rsid w:val="00AD026B"/>
    <w:rsid w:val="00AD103F"/>
    <w:rsid w:val="00AD7F65"/>
    <w:rsid w:val="00AE2023"/>
    <w:rsid w:val="00AE6496"/>
    <w:rsid w:val="00AF24FE"/>
    <w:rsid w:val="00AF46BA"/>
    <w:rsid w:val="00AF4E5A"/>
    <w:rsid w:val="00AF6030"/>
    <w:rsid w:val="00AF7AAD"/>
    <w:rsid w:val="00B01366"/>
    <w:rsid w:val="00B01713"/>
    <w:rsid w:val="00B03A3D"/>
    <w:rsid w:val="00B03DBE"/>
    <w:rsid w:val="00B06344"/>
    <w:rsid w:val="00B11734"/>
    <w:rsid w:val="00B118F9"/>
    <w:rsid w:val="00B146C4"/>
    <w:rsid w:val="00B14AF4"/>
    <w:rsid w:val="00B23919"/>
    <w:rsid w:val="00B25C6D"/>
    <w:rsid w:val="00B26315"/>
    <w:rsid w:val="00B27304"/>
    <w:rsid w:val="00B30C6F"/>
    <w:rsid w:val="00B311A6"/>
    <w:rsid w:val="00B33584"/>
    <w:rsid w:val="00B43782"/>
    <w:rsid w:val="00B57CDB"/>
    <w:rsid w:val="00B62466"/>
    <w:rsid w:val="00B6266C"/>
    <w:rsid w:val="00B65500"/>
    <w:rsid w:val="00B656E9"/>
    <w:rsid w:val="00B67BC6"/>
    <w:rsid w:val="00B71167"/>
    <w:rsid w:val="00B860FC"/>
    <w:rsid w:val="00B86668"/>
    <w:rsid w:val="00B87014"/>
    <w:rsid w:val="00B87C92"/>
    <w:rsid w:val="00B928BF"/>
    <w:rsid w:val="00B96964"/>
    <w:rsid w:val="00BA206C"/>
    <w:rsid w:val="00BA3DA5"/>
    <w:rsid w:val="00BA4BA1"/>
    <w:rsid w:val="00BA4F55"/>
    <w:rsid w:val="00BA7593"/>
    <w:rsid w:val="00BA76DE"/>
    <w:rsid w:val="00BB457D"/>
    <w:rsid w:val="00BB7C45"/>
    <w:rsid w:val="00BC5FF7"/>
    <w:rsid w:val="00BC623B"/>
    <w:rsid w:val="00BD272A"/>
    <w:rsid w:val="00BD55C5"/>
    <w:rsid w:val="00BD5980"/>
    <w:rsid w:val="00BE4A8C"/>
    <w:rsid w:val="00BE6FE9"/>
    <w:rsid w:val="00BF2D44"/>
    <w:rsid w:val="00BF6D70"/>
    <w:rsid w:val="00BF7BC9"/>
    <w:rsid w:val="00C02244"/>
    <w:rsid w:val="00C04510"/>
    <w:rsid w:val="00C11B38"/>
    <w:rsid w:val="00C1313B"/>
    <w:rsid w:val="00C27252"/>
    <w:rsid w:val="00C33D70"/>
    <w:rsid w:val="00C349CF"/>
    <w:rsid w:val="00C372BB"/>
    <w:rsid w:val="00C400C7"/>
    <w:rsid w:val="00C41C91"/>
    <w:rsid w:val="00C42ED2"/>
    <w:rsid w:val="00C545E0"/>
    <w:rsid w:val="00C57F31"/>
    <w:rsid w:val="00C648FF"/>
    <w:rsid w:val="00C64927"/>
    <w:rsid w:val="00C65273"/>
    <w:rsid w:val="00C65529"/>
    <w:rsid w:val="00C704C8"/>
    <w:rsid w:val="00C76540"/>
    <w:rsid w:val="00C77834"/>
    <w:rsid w:val="00C77963"/>
    <w:rsid w:val="00C81F85"/>
    <w:rsid w:val="00C83EDC"/>
    <w:rsid w:val="00C866F3"/>
    <w:rsid w:val="00C87667"/>
    <w:rsid w:val="00C91DA0"/>
    <w:rsid w:val="00CA1656"/>
    <w:rsid w:val="00CA6ECA"/>
    <w:rsid w:val="00CB5586"/>
    <w:rsid w:val="00CC0AE9"/>
    <w:rsid w:val="00CC18DE"/>
    <w:rsid w:val="00CC39C7"/>
    <w:rsid w:val="00CE3ABE"/>
    <w:rsid w:val="00CE4EFC"/>
    <w:rsid w:val="00CE527D"/>
    <w:rsid w:val="00CE55C6"/>
    <w:rsid w:val="00CE5C4C"/>
    <w:rsid w:val="00CE7FE5"/>
    <w:rsid w:val="00CF49C6"/>
    <w:rsid w:val="00D014FA"/>
    <w:rsid w:val="00D021FB"/>
    <w:rsid w:val="00D050ED"/>
    <w:rsid w:val="00D1340F"/>
    <w:rsid w:val="00D1459C"/>
    <w:rsid w:val="00D20ED3"/>
    <w:rsid w:val="00D211E0"/>
    <w:rsid w:val="00D23922"/>
    <w:rsid w:val="00D249A8"/>
    <w:rsid w:val="00D2631A"/>
    <w:rsid w:val="00D276F8"/>
    <w:rsid w:val="00D310A1"/>
    <w:rsid w:val="00D31721"/>
    <w:rsid w:val="00D37134"/>
    <w:rsid w:val="00D520AF"/>
    <w:rsid w:val="00D551EC"/>
    <w:rsid w:val="00D56A76"/>
    <w:rsid w:val="00D61597"/>
    <w:rsid w:val="00D645A9"/>
    <w:rsid w:val="00D70966"/>
    <w:rsid w:val="00D75665"/>
    <w:rsid w:val="00D83D23"/>
    <w:rsid w:val="00D84CF2"/>
    <w:rsid w:val="00D92676"/>
    <w:rsid w:val="00D9403E"/>
    <w:rsid w:val="00D9411C"/>
    <w:rsid w:val="00D95B90"/>
    <w:rsid w:val="00DA57B7"/>
    <w:rsid w:val="00DB671D"/>
    <w:rsid w:val="00DC13A8"/>
    <w:rsid w:val="00DC18E7"/>
    <w:rsid w:val="00DC6A18"/>
    <w:rsid w:val="00DC7AD9"/>
    <w:rsid w:val="00DD5C12"/>
    <w:rsid w:val="00DE06EF"/>
    <w:rsid w:val="00DE0C88"/>
    <w:rsid w:val="00DE217C"/>
    <w:rsid w:val="00DE2A18"/>
    <w:rsid w:val="00DE731B"/>
    <w:rsid w:val="00DF3459"/>
    <w:rsid w:val="00DF573A"/>
    <w:rsid w:val="00DF6689"/>
    <w:rsid w:val="00E0360F"/>
    <w:rsid w:val="00E047F5"/>
    <w:rsid w:val="00E061EE"/>
    <w:rsid w:val="00E06F0B"/>
    <w:rsid w:val="00E07A86"/>
    <w:rsid w:val="00E1053F"/>
    <w:rsid w:val="00E10AF6"/>
    <w:rsid w:val="00E15DEA"/>
    <w:rsid w:val="00E16EB5"/>
    <w:rsid w:val="00E2027B"/>
    <w:rsid w:val="00E2154B"/>
    <w:rsid w:val="00E27722"/>
    <w:rsid w:val="00E3542E"/>
    <w:rsid w:val="00E36F5D"/>
    <w:rsid w:val="00E43E5A"/>
    <w:rsid w:val="00E44363"/>
    <w:rsid w:val="00E50D15"/>
    <w:rsid w:val="00E53BD2"/>
    <w:rsid w:val="00E54784"/>
    <w:rsid w:val="00E55377"/>
    <w:rsid w:val="00E55549"/>
    <w:rsid w:val="00E66254"/>
    <w:rsid w:val="00E7487D"/>
    <w:rsid w:val="00E76620"/>
    <w:rsid w:val="00E80EF0"/>
    <w:rsid w:val="00E85FA9"/>
    <w:rsid w:val="00E9408D"/>
    <w:rsid w:val="00E94697"/>
    <w:rsid w:val="00E97CA2"/>
    <w:rsid w:val="00EA03F8"/>
    <w:rsid w:val="00EA0B92"/>
    <w:rsid w:val="00EA3E46"/>
    <w:rsid w:val="00EB16C9"/>
    <w:rsid w:val="00EB2F8C"/>
    <w:rsid w:val="00EB336E"/>
    <w:rsid w:val="00EB4061"/>
    <w:rsid w:val="00EB4129"/>
    <w:rsid w:val="00EB41B0"/>
    <w:rsid w:val="00EB56B5"/>
    <w:rsid w:val="00EB580E"/>
    <w:rsid w:val="00ED2AC8"/>
    <w:rsid w:val="00ED65B4"/>
    <w:rsid w:val="00EE1B57"/>
    <w:rsid w:val="00EE631D"/>
    <w:rsid w:val="00EF6BD4"/>
    <w:rsid w:val="00F06434"/>
    <w:rsid w:val="00F07F26"/>
    <w:rsid w:val="00F10996"/>
    <w:rsid w:val="00F161E2"/>
    <w:rsid w:val="00F25169"/>
    <w:rsid w:val="00F351AB"/>
    <w:rsid w:val="00F36700"/>
    <w:rsid w:val="00F40354"/>
    <w:rsid w:val="00F43A69"/>
    <w:rsid w:val="00F43C9E"/>
    <w:rsid w:val="00F43F95"/>
    <w:rsid w:val="00F46C51"/>
    <w:rsid w:val="00F475F5"/>
    <w:rsid w:val="00F60D7E"/>
    <w:rsid w:val="00F734E6"/>
    <w:rsid w:val="00F73F64"/>
    <w:rsid w:val="00F74076"/>
    <w:rsid w:val="00F74844"/>
    <w:rsid w:val="00F76F5A"/>
    <w:rsid w:val="00F82D24"/>
    <w:rsid w:val="00F84BCB"/>
    <w:rsid w:val="00F87A84"/>
    <w:rsid w:val="00F91D73"/>
    <w:rsid w:val="00F92546"/>
    <w:rsid w:val="00FB0A70"/>
    <w:rsid w:val="00FB56AA"/>
    <w:rsid w:val="00FC204B"/>
    <w:rsid w:val="00FC3CEA"/>
    <w:rsid w:val="00FC41B5"/>
    <w:rsid w:val="00FC448F"/>
    <w:rsid w:val="00FC57F1"/>
    <w:rsid w:val="00FC6FF6"/>
    <w:rsid w:val="00FD00A7"/>
    <w:rsid w:val="00FD52E4"/>
    <w:rsid w:val="00FD5301"/>
    <w:rsid w:val="00FD64DA"/>
    <w:rsid w:val="00FD797E"/>
    <w:rsid w:val="00FE2024"/>
    <w:rsid w:val="00FF682A"/>
    <w:rsid w:val="00FF6F15"/>
    <w:rsid w:val="00FF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DACD"/>
  <w15:chartTrackingRefBased/>
  <w15:docId w15:val="{968C0A27-DF7C-45AA-9D35-69E7B878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03"/>
    <w:rPr>
      <w:rFonts w:ascii="Segoe UI Light" w:hAnsi="Segoe UI Light"/>
    </w:rPr>
  </w:style>
  <w:style w:type="paragraph" w:styleId="Heading1">
    <w:name w:val="heading 1"/>
    <w:basedOn w:val="Normal"/>
    <w:next w:val="Normal"/>
    <w:link w:val="Heading1Char"/>
    <w:uiPriority w:val="9"/>
    <w:qFormat/>
    <w:rsid w:val="005F36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36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36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F36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03"/>
  </w:style>
  <w:style w:type="paragraph" w:styleId="Footer">
    <w:name w:val="footer"/>
    <w:basedOn w:val="Normal"/>
    <w:link w:val="FooterChar"/>
    <w:uiPriority w:val="99"/>
    <w:unhideWhenUsed/>
    <w:rsid w:val="005F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03"/>
  </w:style>
  <w:style w:type="character" w:styleId="IntenseEmphasis">
    <w:name w:val="Intense Emphasis"/>
    <w:uiPriority w:val="21"/>
    <w:qFormat/>
    <w:rsid w:val="005F3603"/>
    <w:rPr>
      <w:b/>
      <w:bCs/>
      <w:caps/>
      <w:color w:val="1F4D78" w:themeColor="accent1" w:themeShade="7F"/>
      <w:spacing w:val="10"/>
    </w:rPr>
  </w:style>
  <w:style w:type="paragraph" w:styleId="Subtitle">
    <w:name w:val="Subtitle"/>
    <w:basedOn w:val="Normal"/>
    <w:next w:val="Normal"/>
    <w:link w:val="SubtitleChar"/>
    <w:uiPriority w:val="11"/>
    <w:qFormat/>
    <w:rsid w:val="005F3603"/>
    <w:pPr>
      <w:spacing w:after="500" w:line="240" w:lineRule="auto"/>
    </w:pPr>
    <w:rPr>
      <w:rFonts w:ascii="Times New Roman" w:eastAsiaTheme="minorEastAsia" w:hAnsi="Times New Roman" w:cs="Times New Roman"/>
      <w:caps/>
      <w:color w:val="595959" w:themeColor="text1" w:themeTint="A6"/>
      <w:spacing w:val="10"/>
      <w:sz w:val="21"/>
      <w:szCs w:val="21"/>
    </w:rPr>
  </w:style>
  <w:style w:type="character" w:customStyle="1" w:styleId="SubtitleChar">
    <w:name w:val="Subtitle Char"/>
    <w:basedOn w:val="DefaultParagraphFont"/>
    <w:link w:val="Subtitle"/>
    <w:uiPriority w:val="11"/>
    <w:rsid w:val="005F3603"/>
    <w:rPr>
      <w:rFonts w:ascii="Times New Roman" w:eastAsiaTheme="minorEastAsia" w:hAnsi="Times New Roman" w:cs="Times New Roman"/>
      <w:caps/>
      <w:color w:val="595959" w:themeColor="text1" w:themeTint="A6"/>
      <w:spacing w:val="10"/>
      <w:sz w:val="21"/>
      <w:szCs w:val="21"/>
    </w:rPr>
  </w:style>
  <w:style w:type="paragraph" w:styleId="IntenseQuote">
    <w:name w:val="Intense Quote"/>
    <w:basedOn w:val="Normal"/>
    <w:next w:val="Normal"/>
    <w:link w:val="IntenseQuoteChar"/>
    <w:uiPriority w:val="30"/>
    <w:qFormat/>
    <w:rsid w:val="005F3603"/>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IntenseQuoteChar">
    <w:name w:val="Intense Quote Char"/>
    <w:basedOn w:val="DefaultParagraphFont"/>
    <w:link w:val="IntenseQuote"/>
    <w:uiPriority w:val="30"/>
    <w:rsid w:val="005F3603"/>
    <w:rPr>
      <w:rFonts w:eastAsiaTheme="minorEastAsia"/>
      <w:i/>
      <w:iCs/>
      <w:color w:val="5B9BD5" w:themeColor="accent1"/>
    </w:rPr>
  </w:style>
  <w:style w:type="character" w:customStyle="1" w:styleId="Heading2Char">
    <w:name w:val="Heading 2 Char"/>
    <w:basedOn w:val="DefaultParagraphFont"/>
    <w:link w:val="Heading2"/>
    <w:uiPriority w:val="9"/>
    <w:rsid w:val="005F36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360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F3603"/>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5F360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F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5F360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5F3603"/>
    <w:pPr>
      <w:outlineLvl w:val="9"/>
    </w:pPr>
  </w:style>
  <w:style w:type="paragraph" w:styleId="TOC1">
    <w:name w:val="toc 1"/>
    <w:basedOn w:val="Normal"/>
    <w:next w:val="Normal"/>
    <w:autoRedefine/>
    <w:uiPriority w:val="39"/>
    <w:unhideWhenUsed/>
    <w:rsid w:val="005F3603"/>
    <w:pPr>
      <w:spacing w:after="100"/>
    </w:pPr>
  </w:style>
  <w:style w:type="paragraph" w:styleId="TOC2">
    <w:name w:val="toc 2"/>
    <w:basedOn w:val="Normal"/>
    <w:next w:val="Normal"/>
    <w:autoRedefine/>
    <w:uiPriority w:val="39"/>
    <w:unhideWhenUsed/>
    <w:rsid w:val="005F3603"/>
    <w:pPr>
      <w:spacing w:after="100"/>
      <w:ind w:left="220"/>
    </w:pPr>
  </w:style>
  <w:style w:type="character" w:styleId="Hyperlink">
    <w:name w:val="Hyperlink"/>
    <w:basedOn w:val="DefaultParagraphFont"/>
    <w:uiPriority w:val="99"/>
    <w:unhideWhenUsed/>
    <w:rsid w:val="005F3603"/>
    <w:rPr>
      <w:color w:val="0563C1" w:themeColor="hyperlink"/>
      <w:u w:val="single"/>
    </w:rPr>
  </w:style>
  <w:style w:type="paragraph" w:styleId="NoSpacing">
    <w:name w:val="No Spacing"/>
    <w:uiPriority w:val="1"/>
    <w:qFormat/>
    <w:rsid w:val="00FF682A"/>
    <w:pPr>
      <w:spacing w:after="0" w:line="240" w:lineRule="auto"/>
    </w:pPr>
    <w:rPr>
      <w:rFonts w:ascii="Segoe UI Light" w:hAnsi="Segoe UI Light"/>
    </w:rPr>
  </w:style>
  <w:style w:type="paragraph" w:styleId="ListParagraph">
    <w:name w:val="List Paragraph"/>
    <w:basedOn w:val="Normal"/>
    <w:uiPriority w:val="34"/>
    <w:qFormat/>
    <w:rsid w:val="00FC41B5"/>
    <w:pPr>
      <w:ind w:left="720"/>
      <w:contextualSpacing/>
    </w:pPr>
  </w:style>
  <w:style w:type="character" w:styleId="CommentReference">
    <w:name w:val="annotation reference"/>
    <w:basedOn w:val="DefaultParagraphFont"/>
    <w:uiPriority w:val="99"/>
    <w:semiHidden/>
    <w:unhideWhenUsed/>
    <w:rsid w:val="00F36700"/>
    <w:rPr>
      <w:sz w:val="16"/>
      <w:szCs w:val="16"/>
    </w:rPr>
  </w:style>
  <w:style w:type="paragraph" w:styleId="CommentText">
    <w:name w:val="annotation text"/>
    <w:basedOn w:val="Normal"/>
    <w:link w:val="CommentTextChar"/>
    <w:uiPriority w:val="99"/>
    <w:semiHidden/>
    <w:unhideWhenUsed/>
    <w:rsid w:val="00F36700"/>
    <w:pPr>
      <w:spacing w:line="240" w:lineRule="auto"/>
    </w:pPr>
    <w:rPr>
      <w:sz w:val="20"/>
      <w:szCs w:val="20"/>
    </w:rPr>
  </w:style>
  <w:style w:type="character" w:customStyle="1" w:styleId="CommentTextChar">
    <w:name w:val="Comment Text Char"/>
    <w:basedOn w:val="DefaultParagraphFont"/>
    <w:link w:val="CommentText"/>
    <w:uiPriority w:val="99"/>
    <w:semiHidden/>
    <w:rsid w:val="00F36700"/>
    <w:rPr>
      <w:rFonts w:ascii="Segoe UI Light" w:hAnsi="Segoe UI Light"/>
      <w:sz w:val="20"/>
      <w:szCs w:val="20"/>
    </w:rPr>
  </w:style>
  <w:style w:type="paragraph" w:styleId="CommentSubject">
    <w:name w:val="annotation subject"/>
    <w:basedOn w:val="CommentText"/>
    <w:next w:val="CommentText"/>
    <w:link w:val="CommentSubjectChar"/>
    <w:uiPriority w:val="99"/>
    <w:semiHidden/>
    <w:unhideWhenUsed/>
    <w:rsid w:val="00F36700"/>
    <w:rPr>
      <w:b/>
      <w:bCs/>
    </w:rPr>
  </w:style>
  <w:style w:type="character" w:customStyle="1" w:styleId="CommentSubjectChar">
    <w:name w:val="Comment Subject Char"/>
    <w:basedOn w:val="CommentTextChar"/>
    <w:link w:val="CommentSubject"/>
    <w:uiPriority w:val="99"/>
    <w:semiHidden/>
    <w:rsid w:val="00F36700"/>
    <w:rPr>
      <w:rFonts w:ascii="Segoe UI Light" w:hAnsi="Segoe UI Light"/>
      <w:b/>
      <w:bCs/>
      <w:sz w:val="20"/>
      <w:szCs w:val="20"/>
    </w:rPr>
  </w:style>
  <w:style w:type="paragraph" w:styleId="BalloonText">
    <w:name w:val="Balloon Text"/>
    <w:basedOn w:val="Normal"/>
    <w:link w:val="BalloonTextChar"/>
    <w:uiPriority w:val="99"/>
    <w:semiHidden/>
    <w:unhideWhenUsed/>
    <w:rsid w:val="00F36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00"/>
    <w:rPr>
      <w:rFonts w:ascii="Segoe UI" w:hAnsi="Segoe UI" w:cs="Segoe UI"/>
      <w:sz w:val="18"/>
      <w:szCs w:val="18"/>
    </w:rPr>
  </w:style>
  <w:style w:type="character" w:styleId="FollowedHyperlink">
    <w:name w:val="FollowedHyperlink"/>
    <w:basedOn w:val="DefaultParagraphFont"/>
    <w:uiPriority w:val="99"/>
    <w:semiHidden/>
    <w:unhideWhenUsed/>
    <w:rsid w:val="004661BC"/>
    <w:rPr>
      <w:color w:val="954F72" w:themeColor="followedHyperlink"/>
      <w:u w:val="single"/>
    </w:rPr>
  </w:style>
  <w:style w:type="character" w:styleId="UnresolvedMention">
    <w:name w:val="Unresolved Mention"/>
    <w:basedOn w:val="DefaultParagraphFont"/>
    <w:uiPriority w:val="99"/>
    <w:semiHidden/>
    <w:unhideWhenUsed/>
    <w:rsid w:val="00505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39C68C64793C40BBE210C2271F11E6" ma:contentTypeVersion="18" ma:contentTypeDescription="Create a new document." ma:contentTypeScope="" ma:versionID="2485c391ffe228aa9008b10a688425b5">
  <xsd:schema xmlns:xsd="http://www.w3.org/2001/XMLSchema" xmlns:xs="http://www.w3.org/2001/XMLSchema" xmlns:p="http://schemas.microsoft.com/office/2006/metadata/properties" xmlns:ns2="b876871d-df1b-4d1f-a2c8-97e6ffd32230" xmlns:ns3="82f9449c-a0da-4b66-9628-70adc220e7bf" targetNamespace="http://schemas.microsoft.com/office/2006/metadata/properties" ma:root="true" ma:fieldsID="1fd0d8a43829379d7269c5ac912a6ad9" ns2:_="" ns3:_="">
    <xsd:import namespace="b876871d-df1b-4d1f-a2c8-97e6ffd32230"/>
    <xsd:import namespace="82f9449c-a0da-4b66-9628-70adc220e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element ref="ns2:QSCWri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6871d-df1b-4d1f-a2c8-97e6ffd32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ec4b94-83e3-4fb0-b3dc-ba71559991c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QSCWriter" ma:index="25" nillable="true" ma:displayName="QSC Writer" ma:description="Person or persons responsible for writing the Quarterly Security Assessments for this client." ma:format="Dropdown" ma:list="UserInfo" ma:SharePointGroup="0" ma:internalName="QSC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9449c-a0da-4b66-9628-70adc220e7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984b78-4b11-4f54-ac8f-22a60f7d78db}" ma:internalName="TaxCatchAll" ma:showField="CatchAllData" ma:web="82f9449c-a0da-4b66-9628-70adc220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76871d-df1b-4d1f-a2c8-97e6ffd32230">
      <Terms xmlns="http://schemas.microsoft.com/office/infopath/2007/PartnerControls"/>
    </lcf76f155ced4ddcb4097134ff3c332f>
    <TaxCatchAll xmlns="82f9449c-a0da-4b66-9628-70adc220e7bf" xsi:nil="true"/>
    <QSCWriter xmlns="b876871d-df1b-4d1f-a2c8-97e6ffd32230">
      <UserInfo>
        <DisplayName/>
        <AccountId xsi:nil="true"/>
        <AccountType/>
      </UserInfo>
    </QSCWrit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F249-01BC-41FC-937D-2ED2981BF2D8}">
  <ds:schemaRefs>
    <ds:schemaRef ds:uri="http://schemas.microsoft.com/sharepoint/v3/contenttype/forms"/>
  </ds:schemaRefs>
</ds:datastoreItem>
</file>

<file path=customXml/itemProps2.xml><?xml version="1.0" encoding="utf-8"?>
<ds:datastoreItem xmlns:ds="http://schemas.openxmlformats.org/officeDocument/2006/customXml" ds:itemID="{FBE2283C-459A-4133-85B1-8655EBD6D721}"/>
</file>

<file path=customXml/itemProps3.xml><?xml version="1.0" encoding="utf-8"?>
<ds:datastoreItem xmlns:ds="http://schemas.openxmlformats.org/officeDocument/2006/customXml" ds:itemID="{11E2C291-317C-42F6-8BA0-D5FAECC9C16C}">
  <ds:schemaRef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b876871d-df1b-4d1f-a2c8-97e6ffd32230"/>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6E6BF92B-1E3C-4F9B-86BC-3DA7B151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3339</TotalTime>
  <Pages>5</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ProSource IT Consulting</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Lee</dc:creator>
  <cp:keywords/>
  <dc:description/>
  <cp:lastModifiedBy>Christopher Lee</cp:lastModifiedBy>
  <cp:revision>637</cp:revision>
  <dcterms:created xsi:type="dcterms:W3CDTF">2019-06-10T17:21:00Z</dcterms:created>
  <dcterms:modified xsi:type="dcterms:W3CDTF">2020-01-13T17:22:00Z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0x010100EE39C68C64793C40BBE210C2271F11E6</vt:lpwstr>
  </property>
</Properties>
</file>